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C5A89" w14:textId="0803495E" w:rsidR="003B295B" w:rsidRPr="003B295B" w:rsidRDefault="008E726B" w:rsidP="008E726B">
      <w:pPr>
        <w:pStyle w:val="Nagwek2"/>
        <w:tabs>
          <w:tab w:val="right" w:pos="12960"/>
        </w:tabs>
        <w:jc w:val="both"/>
        <w:rPr>
          <w:rFonts w:cstheme="majorHAnsi"/>
          <w:i/>
          <w:iCs/>
          <w:color w:val="auto"/>
          <w:sz w:val="22"/>
          <w:szCs w:val="22"/>
        </w:rPr>
      </w:pPr>
      <w:r w:rsidRPr="009B704C">
        <w:rPr>
          <w:noProof/>
        </w:rPr>
        <w:drawing>
          <wp:inline distT="0" distB="0" distL="0" distR="0" wp14:anchorId="312EE7F3" wp14:editId="6F852393">
            <wp:extent cx="3771900" cy="1249680"/>
            <wp:effectExtent l="0" t="0" r="0" b="7620"/>
            <wp:docPr id="20333020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ajorHAnsi"/>
          <w:i/>
          <w:iCs/>
          <w:color w:val="auto"/>
          <w:sz w:val="22"/>
          <w:szCs w:val="22"/>
        </w:rPr>
        <w:tab/>
      </w:r>
      <w:r w:rsidR="003B295B" w:rsidRPr="003B295B">
        <w:rPr>
          <w:rFonts w:cstheme="majorHAnsi"/>
          <w:i/>
          <w:iCs/>
          <w:color w:val="auto"/>
          <w:sz w:val="22"/>
          <w:szCs w:val="22"/>
        </w:rPr>
        <w:t>Załącznik nr 5.</w:t>
      </w:r>
      <w:r w:rsidR="00D05A5B">
        <w:rPr>
          <w:rFonts w:cstheme="majorHAnsi"/>
          <w:i/>
          <w:iCs/>
          <w:color w:val="auto"/>
          <w:sz w:val="22"/>
          <w:szCs w:val="22"/>
        </w:rPr>
        <w:t>3</w:t>
      </w:r>
      <w:r w:rsidR="003B295B" w:rsidRPr="003B295B">
        <w:rPr>
          <w:rFonts w:cstheme="majorHAnsi"/>
          <w:i/>
          <w:iCs/>
          <w:color w:val="auto"/>
          <w:sz w:val="22"/>
          <w:szCs w:val="22"/>
        </w:rPr>
        <w:t>. do SWZ</w:t>
      </w:r>
    </w:p>
    <w:p w14:paraId="418478BE" w14:textId="68CFA341" w:rsidR="003B295B" w:rsidRPr="00F55EDD" w:rsidRDefault="003B295B" w:rsidP="00F55EDD">
      <w:pPr>
        <w:pStyle w:val="Nagwek2"/>
        <w:jc w:val="center"/>
        <w:rPr>
          <w:rFonts w:cstheme="majorHAnsi"/>
          <w:color w:val="auto"/>
        </w:rPr>
      </w:pPr>
      <w:r w:rsidRPr="003B295B">
        <w:rPr>
          <w:rFonts w:cstheme="majorHAnsi"/>
          <w:color w:val="auto"/>
        </w:rPr>
        <w:t xml:space="preserve">OPIS PRZEDMIOTU ZAMÓWIENIA – </w:t>
      </w:r>
      <w:r w:rsidRPr="003B295B">
        <w:rPr>
          <w:rFonts w:cstheme="majorHAnsi"/>
          <w:color w:val="auto"/>
          <w:u w:val="single"/>
        </w:rPr>
        <w:t>C</w:t>
      </w:r>
      <w:r w:rsidR="00BB3F25" w:rsidRPr="003B295B">
        <w:rPr>
          <w:rFonts w:cstheme="majorHAnsi"/>
          <w:color w:val="auto"/>
          <w:u w:val="single"/>
        </w:rPr>
        <w:t xml:space="preserve">ZĘŚĆ </w:t>
      </w:r>
      <w:r w:rsidR="00800E68">
        <w:rPr>
          <w:rFonts w:cstheme="majorHAnsi"/>
          <w:color w:val="auto"/>
          <w:u w:val="single"/>
        </w:rPr>
        <w:t>3</w:t>
      </w:r>
      <w:r w:rsidR="00B27D8C">
        <w:rPr>
          <w:rFonts w:cstheme="majorHAnsi"/>
          <w:color w:val="auto"/>
          <w:u w:val="single"/>
        </w:rPr>
        <w:t>-</w:t>
      </w:r>
      <w:r w:rsidR="00077AF1" w:rsidRPr="003B295B">
        <w:rPr>
          <w:rFonts w:cstheme="majorHAnsi"/>
          <w:color w:val="auto"/>
        </w:rPr>
        <w:t xml:space="preserve"> </w:t>
      </w:r>
      <w:r w:rsidR="00BB3F25" w:rsidRPr="003B295B">
        <w:rPr>
          <w:rFonts w:cstheme="majorHAnsi"/>
          <w:color w:val="auto"/>
        </w:rPr>
        <w:t xml:space="preserve">MEBLE </w:t>
      </w:r>
      <w:r w:rsidR="001E4ACA">
        <w:rPr>
          <w:rFonts w:cstheme="majorHAnsi"/>
          <w:color w:val="auto"/>
        </w:rPr>
        <w:t>TAPICEROWANE</w:t>
      </w:r>
    </w:p>
    <w:p w14:paraId="54CD3E38" w14:textId="5F8A7866" w:rsidR="00F8531F" w:rsidRPr="003B295B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Rysunki poglądowe</w:t>
      </w:r>
      <w:r w:rsidR="00D56D4A">
        <w:rPr>
          <w:rStyle w:val="Pogrubienie"/>
          <w:rFonts w:asciiTheme="majorHAnsi" w:hAnsiTheme="majorHAnsi" w:cstheme="majorHAnsi"/>
          <w:sz w:val="22"/>
          <w:szCs w:val="22"/>
        </w:rPr>
        <w:t>: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Przedstawione rysunki/zdjęcia mają charakter poglądowy i nie stanowią wskazania producenta ani konkretnego modelu. </w:t>
      </w:r>
      <w:r w:rsidR="006F0C74" w:rsidRPr="003B295B">
        <w:rPr>
          <w:rFonts w:asciiTheme="majorHAnsi" w:hAnsiTheme="majorHAnsi" w:cstheme="majorHAnsi"/>
          <w:sz w:val="22"/>
          <w:szCs w:val="22"/>
        </w:rPr>
        <w:br/>
      </w:r>
      <w:r w:rsidRPr="003B295B">
        <w:rPr>
          <w:rFonts w:asciiTheme="majorHAnsi" w:hAnsiTheme="majorHAnsi" w:cstheme="majorHAnsi"/>
          <w:sz w:val="22"/>
          <w:szCs w:val="22"/>
        </w:rPr>
        <w:t>W przypadku rozbieżności wiążące są wymagania minimalne i parametry określone w OPZ.</w:t>
      </w:r>
    </w:p>
    <w:p w14:paraId="60D8DE2E" w14:textId="306D29D4" w:rsidR="00F8531F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Równoważność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Zamawiający dopuszcza zaoferowanie produktów równoważnych, tj. </w:t>
      </w:r>
      <w:r w:rsidRPr="00243FC9">
        <w:rPr>
          <w:rFonts w:asciiTheme="majorHAnsi" w:hAnsiTheme="majorHAnsi" w:cstheme="majorHAnsi"/>
          <w:b/>
          <w:bCs/>
          <w:sz w:val="22"/>
          <w:szCs w:val="22"/>
        </w:rPr>
        <w:t>spełniających co najmniej wymagania minimalne OPZ</w:t>
      </w:r>
      <w:r w:rsidR="00C51E7E">
        <w:rPr>
          <w:rFonts w:asciiTheme="majorHAnsi" w:hAnsiTheme="majorHAnsi" w:cstheme="majorHAnsi"/>
          <w:b/>
          <w:bCs/>
          <w:sz w:val="22"/>
          <w:szCs w:val="22"/>
        </w:rPr>
        <w:t xml:space="preserve"> </w:t>
      </w:r>
      <w:r w:rsidRPr="00C51E7E">
        <w:rPr>
          <w:rFonts w:asciiTheme="majorHAnsi" w:hAnsiTheme="majorHAnsi" w:cstheme="majorHAnsi"/>
          <w:b/>
          <w:bCs/>
          <w:sz w:val="22"/>
          <w:szCs w:val="22"/>
        </w:rPr>
        <w:t>w zakresie funkcjonalności, parametrów technicznych, trwałości, bezpieczeństwa i jakości</w:t>
      </w:r>
      <w:r w:rsidRPr="00C51E7E">
        <w:rPr>
          <w:rFonts w:asciiTheme="majorHAnsi" w:hAnsiTheme="majorHAnsi" w:cstheme="majorHAnsi"/>
          <w:sz w:val="22"/>
          <w:szCs w:val="22"/>
        </w:rPr>
        <w:t>. W przypadku wskazania norm dopuszcza się normy równoważne – Wykonawca wykazuje równoważność zakresem badań i poziomem wymagań.</w:t>
      </w:r>
    </w:p>
    <w:p w14:paraId="34F1C38C" w14:textId="5A856EA8" w:rsidR="0005696A" w:rsidRPr="0005696A" w:rsidRDefault="0005696A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Wszystkie podane </w:t>
      </w:r>
      <w:r>
        <w:rPr>
          <w:rFonts w:asciiTheme="majorHAnsi" w:hAnsiTheme="majorHAnsi" w:cstheme="majorHAnsi"/>
          <w:b/>
          <w:bCs/>
          <w:sz w:val="22"/>
          <w:szCs w:val="22"/>
        </w:rPr>
        <w:t>wymiary</w:t>
      </w:r>
      <w:r>
        <w:rPr>
          <w:rFonts w:asciiTheme="majorHAnsi" w:hAnsiTheme="majorHAnsi" w:cstheme="majorHAnsi"/>
          <w:sz w:val="22"/>
          <w:szCs w:val="22"/>
        </w:rPr>
        <w:t xml:space="preserve"> są wymiarami nominalnymi i mogą odbiegać od rzeczywistych w granicach przyjętych tolerancji produkcyjnych</w:t>
      </w:r>
    </w:p>
    <w:p w14:paraId="7AD083DE" w14:textId="33103009" w:rsidR="00F8531F" w:rsidRPr="003B295B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Przeznaczenie – intensywna eksploatacja</w:t>
      </w:r>
      <w:r w:rsidRPr="003B295B">
        <w:rPr>
          <w:rFonts w:asciiTheme="majorHAnsi" w:hAnsiTheme="majorHAnsi" w:cstheme="majorHAnsi"/>
          <w:sz w:val="22"/>
          <w:szCs w:val="22"/>
        </w:rPr>
        <w:br/>
        <w:t>Wyposażenie objęte niniejszą częścią jest przeznaczone do użytkowania w obiekcie użyteczności publicznej (szkoła), w tym w pomieszczeniach ogólnodostępnych oraz gabinetach. Wszystkie elementy muszą być przystosowane do intensywnego użytkowania, odporne na typowe uszkodzenia eksploatacyjne oraz regularne czyszczenie.</w:t>
      </w:r>
    </w:p>
    <w:p w14:paraId="2C5FD0D6" w14:textId="0F0FA74F" w:rsidR="00F8531F" w:rsidRPr="003B295B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Bezpieczeństwo i wykończenie</w:t>
      </w:r>
      <w:r w:rsidRPr="003B295B">
        <w:rPr>
          <w:rFonts w:asciiTheme="majorHAnsi" w:hAnsiTheme="majorHAnsi" w:cstheme="majorHAnsi"/>
          <w:sz w:val="22"/>
          <w:szCs w:val="22"/>
        </w:rPr>
        <w:br/>
        <w:t>Meble i elementy wyposażenia muszą być bezpieczne w użytkowaniu: bez ostrych krawędzi, wystających elementów, niestabilnych połączeń; powierzchnie łatwe do utrzymania w czystości. Elementy stykające się z podłożem muszą posiadać stopki/podkładki zabezpieczające posadzkę.</w:t>
      </w:r>
    </w:p>
    <w:p w14:paraId="72DB7EE0" w14:textId="66923399" w:rsidR="00F8531F" w:rsidRPr="003B295B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Materiały – zgodność z przepisami UE</w:t>
      </w:r>
      <w:r w:rsidRPr="003B295B">
        <w:rPr>
          <w:rFonts w:asciiTheme="majorHAnsi" w:hAnsiTheme="majorHAnsi" w:cstheme="majorHAnsi"/>
          <w:sz w:val="22"/>
          <w:szCs w:val="22"/>
        </w:rPr>
        <w:br/>
        <w:t>Materiały zastosowane w produktach muszą spełniać wymagania obowiązujących przepisów UE dotyczących substancji niebezpiecznych (w tym REACH).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W przypadku elementów wykonanych z płyt drewnopochodnych Zamawiający wymaga klasy emisji formaldehydu </w:t>
      </w: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E1</w:t>
      </w:r>
      <w:r w:rsidRPr="003B295B">
        <w:rPr>
          <w:rFonts w:asciiTheme="majorHAnsi" w:hAnsiTheme="majorHAnsi" w:cstheme="majorHAnsi"/>
          <w:sz w:val="22"/>
          <w:szCs w:val="22"/>
        </w:rPr>
        <w:t xml:space="preserve"> zgodnie z PN-EN 717-1 lub normą równoważną (jeżeli dotyczy).</w:t>
      </w:r>
    </w:p>
    <w:p w14:paraId="556FE48F" w14:textId="0086D67E" w:rsidR="00B27D8C" w:rsidRPr="00394F11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Meble tapicerowane – minimalne parametry tapicerki (dotyczy mebli siedzeniowych)</w:t>
      </w:r>
      <w:r w:rsidRPr="003B295B">
        <w:rPr>
          <w:rFonts w:asciiTheme="majorHAnsi" w:hAnsiTheme="majorHAnsi" w:cstheme="majorHAnsi"/>
          <w:sz w:val="22"/>
          <w:szCs w:val="22"/>
        </w:rPr>
        <w:br/>
        <w:t>Jeżeli w danej pozycji przewidziano meble siedzeniowe tapicerowane (tkanina/ekoskóra), tapicerka musi spełniać co najmniej:</w:t>
      </w:r>
      <w:r w:rsidRPr="003B295B">
        <w:rPr>
          <w:rFonts w:asciiTheme="majorHAnsi" w:hAnsiTheme="majorHAnsi" w:cstheme="majorHAnsi"/>
          <w:sz w:val="22"/>
          <w:szCs w:val="22"/>
        </w:rPr>
        <w:br/>
        <w:t>a) odporność na ścieranie: min. 40 000 cykli Martindale (PN-EN ISO 12947 lub równoważna),</w:t>
      </w:r>
      <w:r w:rsidRPr="003B295B">
        <w:rPr>
          <w:rFonts w:asciiTheme="majorHAnsi" w:hAnsiTheme="majorHAnsi" w:cstheme="majorHAnsi"/>
          <w:sz w:val="22"/>
          <w:szCs w:val="22"/>
        </w:rPr>
        <w:br/>
        <w:t>b) odporność barwy na światło: min. 4 wg EN ISO 105-B02 lub równoważnej,</w:t>
      </w:r>
      <w:r w:rsidRPr="003B295B">
        <w:rPr>
          <w:rFonts w:asciiTheme="majorHAnsi" w:hAnsiTheme="majorHAnsi" w:cstheme="majorHAnsi"/>
          <w:sz w:val="22"/>
          <w:szCs w:val="22"/>
        </w:rPr>
        <w:br/>
        <w:t>c) odporność szwów/rozdzieranie w szwach: PN-EN ISO 13936 lub równoważnej,</w:t>
      </w:r>
      <w:r w:rsidRPr="003B295B">
        <w:rPr>
          <w:rFonts w:asciiTheme="majorHAnsi" w:hAnsiTheme="majorHAnsi" w:cstheme="majorHAnsi"/>
          <w:sz w:val="22"/>
          <w:szCs w:val="22"/>
        </w:rPr>
        <w:br/>
        <w:t>d) możliwość czyszczenia standardowymi środkami stosowanymi w placówkach publicznych; dopuszczona dezynfekcja zgodnie z instrukcją producenta (Wykonawca przekazuje instrukcję czyszczenia/konserwacji).</w:t>
      </w:r>
    </w:p>
    <w:p w14:paraId="1FAAC934" w14:textId="243F6EBF" w:rsidR="00F8531F" w:rsidRPr="005B1DC9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5B1DC9">
        <w:rPr>
          <w:rStyle w:val="Pogrubienie"/>
          <w:rFonts w:asciiTheme="majorHAnsi" w:hAnsiTheme="majorHAnsi" w:cstheme="majorHAnsi"/>
          <w:sz w:val="22"/>
          <w:szCs w:val="22"/>
        </w:rPr>
        <w:t>Meble z wypełnieniem piankowym – gęstość pianki (jeżeli dotyczy)</w:t>
      </w:r>
      <w:r w:rsidRPr="005B1DC9">
        <w:rPr>
          <w:rFonts w:asciiTheme="majorHAnsi" w:hAnsiTheme="majorHAnsi" w:cstheme="majorHAnsi"/>
          <w:sz w:val="22"/>
          <w:szCs w:val="22"/>
        </w:rPr>
        <w:br/>
        <w:t>W celu zapewnienia trwałości w intensywnej eksploatacji Zamawiający wymaga:</w:t>
      </w:r>
      <w:r w:rsidRPr="005B1DC9">
        <w:rPr>
          <w:rFonts w:asciiTheme="majorHAnsi" w:hAnsiTheme="majorHAnsi" w:cstheme="majorHAnsi"/>
          <w:sz w:val="22"/>
          <w:szCs w:val="22"/>
        </w:rPr>
        <w:br/>
        <w:t>a) pianka siedzisk: gęstość min. 30 kg/m³ (PUR lub równoważna, np. HR) oraz odporność na trwałe odkształcenia w standardowym użytkowaniu,</w:t>
      </w:r>
      <w:r w:rsidRPr="005B1DC9">
        <w:rPr>
          <w:rFonts w:asciiTheme="majorHAnsi" w:hAnsiTheme="majorHAnsi" w:cstheme="majorHAnsi"/>
          <w:sz w:val="22"/>
          <w:szCs w:val="22"/>
        </w:rPr>
        <w:br/>
        <w:t>b) pianka oparć (jeżeli dotyczy): gęstość min. 25 kg/m³ (lub wyższa) lub rozwiązanie równoważne o nie gorszej trwałości,</w:t>
      </w:r>
      <w:r w:rsidRPr="005B1DC9">
        <w:rPr>
          <w:rFonts w:asciiTheme="majorHAnsi" w:hAnsiTheme="majorHAnsi" w:cstheme="majorHAnsi"/>
          <w:sz w:val="22"/>
          <w:szCs w:val="22"/>
        </w:rPr>
        <w:br/>
        <w:t>c) w przypadku elementów wykonanych w całości z pianki konstrukcyjnej (moduły/pufy) – gęstość min. 30 kg/m³, przy zachowaniu stabilności i kształtu.</w:t>
      </w:r>
      <w:r w:rsidRPr="005B1DC9">
        <w:rPr>
          <w:rFonts w:asciiTheme="majorHAnsi" w:hAnsiTheme="majorHAnsi" w:cstheme="majorHAnsi"/>
          <w:sz w:val="22"/>
          <w:szCs w:val="22"/>
        </w:rPr>
        <w:br/>
        <w:t>Dopuszcza się materiały równoważne, o ile Wykonawca wykaże w dokumentacji producenta parametry nie gorsze.</w:t>
      </w:r>
    </w:p>
    <w:p w14:paraId="6C125D9A" w14:textId="6785024A" w:rsidR="002F12B1" w:rsidRPr="002F12B1" w:rsidRDefault="002F12B1" w:rsidP="002F12B1">
      <w:pPr>
        <w:pStyle w:val="NormalnyWeb"/>
        <w:spacing w:after="0" w:afterAutospacing="0"/>
        <w:ind w:left="360"/>
        <w:rPr>
          <w:rStyle w:val="Pogrubienie"/>
          <w:rFonts w:asciiTheme="majorHAnsi" w:hAnsiTheme="majorHAnsi" w:cstheme="majorHAnsi"/>
          <w:b w:val="0"/>
          <w:bCs w:val="0"/>
          <w:sz w:val="22"/>
          <w:szCs w:val="22"/>
        </w:rPr>
      </w:pPr>
      <w:r>
        <w:rPr>
          <w:rStyle w:val="Pogrubienie"/>
          <w:rFonts w:asciiTheme="majorHAnsi" w:hAnsiTheme="majorHAnsi" w:cstheme="majorHAnsi"/>
          <w:sz w:val="22"/>
          <w:szCs w:val="22"/>
        </w:rPr>
        <w:t xml:space="preserve">7. </w:t>
      </w:r>
      <w:r w:rsidR="00F8531F" w:rsidRPr="003B295B">
        <w:rPr>
          <w:rStyle w:val="Pogrubienie"/>
          <w:rFonts w:asciiTheme="majorHAnsi" w:hAnsiTheme="majorHAnsi" w:cstheme="majorHAnsi"/>
          <w:sz w:val="22"/>
          <w:szCs w:val="22"/>
        </w:rPr>
        <w:t>Normy – zakres ogólny (lub równoważne), stosownie do asortymentu</w:t>
      </w:r>
    </w:p>
    <w:p w14:paraId="0BBCA259" w14:textId="77777777" w:rsidR="002F12B1" w:rsidRDefault="00F8531F">
      <w:pPr>
        <w:pStyle w:val="NormalnyWeb"/>
        <w:numPr>
          <w:ilvl w:val="0"/>
          <w:numId w:val="52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Fonts w:asciiTheme="majorHAnsi" w:hAnsiTheme="majorHAnsi" w:cstheme="majorHAnsi"/>
          <w:sz w:val="22"/>
          <w:szCs w:val="22"/>
        </w:rPr>
        <w:t>W zależności od rodzaju wyposażenia zastosowanie mają w szczególności:</w:t>
      </w:r>
    </w:p>
    <w:p w14:paraId="0335E049" w14:textId="77777777" w:rsidR="002F12B1" w:rsidRDefault="00F8531F">
      <w:pPr>
        <w:pStyle w:val="NormalnyWeb"/>
        <w:numPr>
          <w:ilvl w:val="0"/>
          <w:numId w:val="52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Fonts w:asciiTheme="majorHAnsi" w:hAnsiTheme="majorHAnsi" w:cstheme="majorHAnsi"/>
          <w:sz w:val="22"/>
          <w:szCs w:val="22"/>
        </w:rPr>
        <w:t>siedziska do użytku nie-domowego: PN-EN 16139 oraz stabilność PN-EN 1022 lub normy równoważne,</w:t>
      </w:r>
    </w:p>
    <w:p w14:paraId="75F5962C" w14:textId="44E9FEFA" w:rsidR="00F8531F" w:rsidRDefault="00F8531F">
      <w:pPr>
        <w:pStyle w:val="NormalnyWeb"/>
        <w:numPr>
          <w:ilvl w:val="0"/>
          <w:numId w:val="52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Fonts w:asciiTheme="majorHAnsi" w:hAnsiTheme="majorHAnsi" w:cstheme="majorHAnsi"/>
          <w:sz w:val="22"/>
          <w:szCs w:val="22"/>
        </w:rPr>
        <w:t>odporność na zapłon wyrobów tapicerowanych: PN-EN 1021-1/2 lub normy równoważne – jeżeli wymagane i/lub deklarowane przez producenta dla danej pozycji.</w:t>
      </w:r>
    </w:p>
    <w:p w14:paraId="4C15E40B" w14:textId="5F54886B" w:rsidR="00F01FD9" w:rsidRDefault="00F01FD9" w:rsidP="00F62C8E">
      <w:pPr>
        <w:pStyle w:val="NormalnyWeb"/>
        <w:numPr>
          <w:ilvl w:val="0"/>
          <w:numId w:val="52"/>
        </w:numPr>
        <w:spacing w:after="0" w:afterAutospacing="0"/>
        <w:rPr>
          <w:rFonts w:asciiTheme="majorHAnsi" w:hAnsiTheme="majorHAnsi" w:cstheme="majorHAnsi"/>
          <w:sz w:val="22"/>
          <w:szCs w:val="22"/>
        </w:rPr>
      </w:pPr>
      <w:r w:rsidRPr="00F01FD9">
        <w:rPr>
          <w:rFonts w:asciiTheme="majorHAnsi" w:hAnsiTheme="majorHAnsi" w:cstheme="majorHAnsi"/>
          <w:sz w:val="22"/>
          <w:szCs w:val="22"/>
        </w:rPr>
        <w:t>parametry tapicerki/normy mogą być potwierdzane badaniami równoważnymi/kartą techniczną, gdy producent nie stosuje wskazanej metody.</w:t>
      </w:r>
    </w:p>
    <w:p w14:paraId="6C6C7A9C" w14:textId="0D6F75A2" w:rsidR="006027CA" w:rsidRPr="003B295B" w:rsidRDefault="006027CA">
      <w:pPr>
        <w:pStyle w:val="NormalnyWeb"/>
        <w:numPr>
          <w:ilvl w:val="0"/>
          <w:numId w:val="41"/>
        </w:numPr>
        <w:jc w:val="both"/>
        <w:rPr>
          <w:rFonts w:asciiTheme="majorHAnsi" w:hAnsiTheme="majorHAnsi" w:cstheme="majorHAnsi"/>
          <w:sz w:val="22"/>
          <w:szCs w:val="22"/>
        </w:rPr>
      </w:pPr>
      <w:r w:rsidRPr="006027CA">
        <w:rPr>
          <w:rFonts w:asciiTheme="majorHAnsi" w:hAnsiTheme="majorHAnsi" w:cstheme="majorHAnsi"/>
          <w:sz w:val="22"/>
          <w:szCs w:val="22"/>
        </w:rPr>
        <w:t xml:space="preserve">Wszystkie parametry określone w OPZ należy traktować jako </w:t>
      </w:r>
      <w:r w:rsidRPr="006027CA">
        <w:rPr>
          <w:rFonts w:asciiTheme="majorHAnsi" w:hAnsiTheme="majorHAnsi" w:cstheme="majorHAnsi"/>
          <w:b/>
          <w:bCs/>
          <w:sz w:val="22"/>
          <w:szCs w:val="22"/>
        </w:rPr>
        <w:t>wymagania minimalne</w:t>
      </w:r>
      <w:r w:rsidRPr="006027CA">
        <w:rPr>
          <w:rFonts w:asciiTheme="majorHAnsi" w:hAnsiTheme="majorHAnsi" w:cstheme="majorHAnsi"/>
          <w:sz w:val="22"/>
          <w:szCs w:val="22"/>
        </w:rPr>
        <w:t>. Dopuszcza się oferowanie rozwiązań równoważnych lub lepszych, pod warunkiem zachowania funkcjonalności, przeznaczenia i bezpieczeństwa użytkowania.</w:t>
      </w:r>
    </w:p>
    <w:p w14:paraId="5CE9BF33" w14:textId="18A57A19" w:rsidR="00F8531F" w:rsidRPr="003B295B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Dostawa, wniesienie, montaż i uporządkowanie</w:t>
      </w:r>
      <w:r w:rsidRPr="003B295B">
        <w:rPr>
          <w:rFonts w:asciiTheme="majorHAnsi" w:hAnsiTheme="majorHAnsi" w:cstheme="majorHAnsi"/>
          <w:sz w:val="22"/>
          <w:szCs w:val="22"/>
        </w:rPr>
        <w:br/>
        <w:t>Wykonawca zapewnia transport, rozładunek, wniesienie do wskazanych pomieszczeń, montaż (jeżeli dotyczy), ustawienie oraz</w:t>
      </w:r>
      <w:r w:rsidR="005A4BA7">
        <w:rPr>
          <w:rFonts w:asciiTheme="majorHAnsi" w:hAnsiTheme="majorHAnsi" w:cstheme="majorHAnsi"/>
          <w:sz w:val="22"/>
          <w:szCs w:val="22"/>
        </w:rPr>
        <w:t xml:space="preserve"> </w:t>
      </w:r>
      <w:r w:rsidRPr="003B295B">
        <w:rPr>
          <w:rFonts w:asciiTheme="majorHAnsi" w:hAnsiTheme="majorHAnsi" w:cstheme="majorHAnsi"/>
          <w:sz w:val="22"/>
          <w:szCs w:val="22"/>
        </w:rPr>
        <w:t>uprzątnięcie i zabranie opakowań.</w:t>
      </w:r>
    </w:p>
    <w:p w14:paraId="2B3EBBC0" w14:textId="1EDB9E21" w:rsidR="006F17EA" w:rsidRPr="00A97F59" w:rsidRDefault="00F8531F">
      <w:pPr>
        <w:pStyle w:val="NormalnyWeb"/>
        <w:numPr>
          <w:ilvl w:val="0"/>
          <w:numId w:val="4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Gwarancja</w:t>
      </w:r>
      <w:r w:rsidRPr="003B295B">
        <w:rPr>
          <w:rFonts w:asciiTheme="majorHAnsi" w:hAnsiTheme="majorHAnsi" w:cstheme="majorHAnsi"/>
          <w:sz w:val="22"/>
          <w:szCs w:val="22"/>
        </w:rPr>
        <w:br/>
        <w:t>Minimalna gwarancja: 24 miesiące, obejmująca komplet produktu: konstrukcję, elementy nośne, tapicerkę (jeżeli dotyczy), okucia/</w:t>
      </w:r>
      <w:r w:rsidR="005A4BA7">
        <w:rPr>
          <w:rFonts w:asciiTheme="majorHAnsi" w:hAnsiTheme="majorHAnsi" w:cstheme="majorHAnsi"/>
          <w:sz w:val="22"/>
          <w:szCs w:val="22"/>
        </w:rPr>
        <w:t xml:space="preserve"> </w:t>
      </w:r>
      <w:r w:rsidRPr="003B295B">
        <w:rPr>
          <w:rFonts w:asciiTheme="majorHAnsi" w:hAnsiTheme="majorHAnsi" w:cstheme="majorHAnsi"/>
          <w:sz w:val="22"/>
          <w:szCs w:val="22"/>
        </w:rPr>
        <w:t>elementy mechaniczne, stabilność mebla oraz poprawne działanie mechanizmów (jeżeli dotyczy)</w:t>
      </w:r>
    </w:p>
    <w:p w14:paraId="6ECE77FF" w14:textId="77777777" w:rsidR="00F55EDD" w:rsidRPr="00F55EDD" w:rsidRDefault="00F55EDD">
      <w:pPr>
        <w:pStyle w:val="NormalnyWeb"/>
        <w:numPr>
          <w:ilvl w:val="0"/>
          <w:numId w:val="41"/>
        </w:numPr>
        <w:spacing w:before="0" w:beforeAutospacing="0" w:after="0" w:afterAutospacing="0"/>
        <w:jc w:val="both"/>
        <w:rPr>
          <w:rFonts w:asciiTheme="majorHAnsi" w:hAnsiTheme="majorHAnsi" w:cstheme="majorHAnsi"/>
          <w:b/>
          <w:bCs/>
          <w:sz w:val="22"/>
          <w:szCs w:val="22"/>
        </w:rPr>
      </w:pPr>
      <w:r w:rsidRPr="00F55EDD">
        <w:rPr>
          <w:rFonts w:asciiTheme="majorHAnsi" w:hAnsiTheme="majorHAnsi" w:cstheme="majorHAnsi"/>
          <w:b/>
          <w:bCs/>
          <w:sz w:val="22"/>
          <w:szCs w:val="22"/>
        </w:rPr>
        <w:t>Kolorystyka – zasady ogólne</w:t>
      </w:r>
    </w:p>
    <w:p w14:paraId="65D53B30" w14:textId="02879D5A" w:rsidR="00F62C8E" w:rsidRDefault="00F55EDD" w:rsidP="00F62C8E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F55EDD">
        <w:rPr>
          <w:rFonts w:asciiTheme="majorHAnsi" w:hAnsiTheme="majorHAnsi" w:cstheme="majorHAnsi"/>
          <w:sz w:val="22"/>
          <w:szCs w:val="22"/>
        </w:rPr>
        <w:t>Jeżeli w OPZ wskazano kolor wraz z odniesieniem do palety RAL i/lub NCS,</w:t>
      </w:r>
      <w:r w:rsidR="000D6497">
        <w:rPr>
          <w:rFonts w:asciiTheme="majorHAnsi" w:hAnsiTheme="majorHAnsi" w:cstheme="majorHAnsi"/>
          <w:sz w:val="22"/>
          <w:szCs w:val="22"/>
        </w:rPr>
        <w:t xml:space="preserve"> </w:t>
      </w:r>
      <w:r w:rsidRPr="00F55EDD">
        <w:rPr>
          <w:rFonts w:asciiTheme="majorHAnsi" w:hAnsiTheme="majorHAnsi" w:cstheme="majorHAnsi"/>
          <w:sz w:val="22"/>
          <w:szCs w:val="22"/>
        </w:rPr>
        <w:t xml:space="preserve">należy traktować go jako kolor referencyjny. Dopuszcza się oferowanie odcieni równoważnych z palety producenta,  o ile zachowana zostanie zbliżona tonacja, nasycenie i charakter koloru oraz spójność wizualna w obrębie danej strefy/pomieszczenia. </w:t>
      </w:r>
      <w:r w:rsidR="00F62C8E"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>Zamawiający zastrzega możliwość</w:t>
      </w:r>
      <w:r w:rsid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 xml:space="preserve"> dokonania</w:t>
      </w:r>
      <w:r w:rsidR="00F62C8E"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 xml:space="preserve"> akceptacji koloru.</w:t>
      </w:r>
    </w:p>
    <w:p w14:paraId="5847E6FD" w14:textId="3DCFBEBD" w:rsidR="00CC55D0" w:rsidRDefault="00CC55D0" w:rsidP="00F62C8E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CB1322">
        <w:rPr>
          <w:rFonts w:asciiTheme="majorHAnsi" w:hAnsiTheme="majorHAnsi" w:cstheme="majorHAnsi"/>
          <w:sz w:val="22"/>
          <w:szCs w:val="22"/>
        </w:rPr>
        <w:t xml:space="preserve">Wykonawca przedstawi Zamawiającemu propozycję kolorystyki oferowanego asortymentu (dla elementów metalowych – kod RAL lub równoważny, dla płyt/laminatów – nazwa i indeks dekoru producenta, dla tapicerki – próbka tkaniny/siatki lub karta materiałowa) </w:t>
      </w:r>
      <w:r w:rsidRPr="00CB1322">
        <w:rPr>
          <w:rFonts w:asciiTheme="majorHAnsi" w:hAnsiTheme="majorHAnsi" w:cstheme="majorHAnsi"/>
          <w:sz w:val="22"/>
          <w:szCs w:val="22"/>
        </w:rPr>
        <w:br/>
        <w:t>w terminie 7 dni kalendarzowych od dnia zawarcia umowy. Zamawiający dokona akceptacji albo zgłosi uwagi w terminie 7 dni kalendarzowych od otrzymania materiałów. Brak uwag w tym terminie oznacza akceptację. Zamawiający może odmówić akceptacji wyłącznie w przypadku, gdy przedstawiona kolorystyka nie mieści się w wymaganiach OPZ (w szczególności: tonacja/ nasycenie/ neutralność barwy oraz wymóg jednolitej tonacji elementów). Uzgodniona kolorystyka zostanie potwierdzona mailowo i będzie wiążąca przy odbiorze.</w:t>
      </w:r>
    </w:p>
    <w:p w14:paraId="5CEE14F1" w14:textId="77777777" w:rsidR="00A97F59" w:rsidRDefault="005B1DC9">
      <w:pPr>
        <w:pStyle w:val="NormalnyWeb"/>
        <w:numPr>
          <w:ilvl w:val="0"/>
          <w:numId w:val="41"/>
        </w:numPr>
        <w:spacing w:before="0" w:beforeAutospacing="0" w:after="0" w:afterAutospacing="0"/>
        <w:jc w:val="both"/>
        <w:rPr>
          <w:rFonts w:asciiTheme="majorHAnsi" w:hAnsiTheme="majorHAnsi" w:cstheme="majorHAnsi"/>
          <w:sz w:val="22"/>
          <w:szCs w:val="22"/>
        </w:rPr>
      </w:pPr>
      <w:r w:rsidRPr="004D2051">
        <w:rPr>
          <w:rStyle w:val="Pogrubienie"/>
          <w:rFonts w:asciiTheme="majorHAnsi" w:hAnsiTheme="majorHAnsi" w:cstheme="majorHAnsi"/>
          <w:sz w:val="22"/>
          <w:szCs w:val="22"/>
        </w:rPr>
        <w:t>Dokumenty</w:t>
      </w:r>
      <w:r>
        <w:rPr>
          <w:rStyle w:val="Pogrubienie"/>
          <w:rFonts w:asciiTheme="majorHAnsi" w:hAnsiTheme="majorHAnsi" w:cstheme="majorHAnsi"/>
          <w:sz w:val="22"/>
          <w:szCs w:val="22"/>
        </w:rPr>
        <w:t xml:space="preserve"> odbiorowe: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</w:p>
    <w:p w14:paraId="531717FE" w14:textId="686D304E" w:rsidR="00A97F59" w:rsidRPr="00A97F59" w:rsidRDefault="00A97F59" w:rsidP="00A97F59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>Wykonawca,</w:t>
      </w:r>
      <w:r w:rsid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 xml:space="preserve"> </w:t>
      </w:r>
      <w:r w:rsidR="00F62C8E"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>przed</w:t>
      </w:r>
      <w:r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 xml:space="preserve"> dostaw</w:t>
      </w:r>
      <w:r w:rsidR="00F62C8E"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>ą</w:t>
      </w:r>
      <w:r w:rsidRPr="00F62C8E">
        <w:rPr>
          <w:rFonts w:asciiTheme="majorHAnsi" w:hAnsiTheme="majorHAnsi" w:cstheme="majorHAnsi"/>
          <w:b/>
          <w:bCs/>
          <w:color w:val="EE0000"/>
          <w:sz w:val="22"/>
          <w:szCs w:val="22"/>
        </w:rPr>
        <w:t xml:space="preserve"> przedłoży: karty katalogowe/specyfikacje</w:t>
      </w:r>
      <w:r w:rsidRPr="00A97F59">
        <w:rPr>
          <w:rFonts w:asciiTheme="majorHAnsi" w:hAnsiTheme="majorHAnsi" w:cstheme="majorHAnsi"/>
          <w:sz w:val="22"/>
          <w:szCs w:val="22"/>
        </w:rPr>
        <w:t>, deklaracje producenta oraz raporty z badań/certyfikaty potwierdzające spełnienie norm i parametrów (w tym tapicerki i pianek – jeżeli dotyczy), a także instrukcje czyszczenia/konserwacji (jeżeli dotyczy).</w:t>
      </w:r>
      <w:r w:rsidRPr="00A97F59">
        <w:rPr>
          <w:sz w:val="22"/>
          <w:szCs w:val="22"/>
        </w:rPr>
        <w:t xml:space="preserve"> </w:t>
      </w:r>
      <w:r w:rsidRPr="00A97F59">
        <w:rPr>
          <w:rFonts w:asciiTheme="majorHAnsi" w:hAnsiTheme="majorHAnsi" w:cstheme="majorHAnsi"/>
          <w:sz w:val="22"/>
          <w:szCs w:val="22"/>
        </w:rPr>
        <w:t>Dopuszcza się potwierdzenie parametru innymi badaniami równoważnymi lub kartą techniczną producenta, jeżeli dla danego materiału producent nie stosuje wskazanej metody.</w:t>
      </w:r>
    </w:p>
    <w:p w14:paraId="321DDE7B" w14:textId="77777777" w:rsidR="00394F11" w:rsidRDefault="00394F11" w:rsidP="005A4BA7"/>
    <w:p w14:paraId="69ED89BA" w14:textId="77777777" w:rsidR="00A97F59" w:rsidRDefault="00A97F59" w:rsidP="005A4BA7"/>
    <w:p w14:paraId="10C93390" w14:textId="77777777" w:rsidR="00CC55D0" w:rsidRPr="005A4BA7" w:rsidRDefault="00CC55D0" w:rsidP="005A4BA7"/>
    <w:tbl>
      <w:tblPr>
        <w:tblW w:w="1377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7"/>
        <w:gridCol w:w="649"/>
        <w:gridCol w:w="6722"/>
        <w:gridCol w:w="4961"/>
      </w:tblGrid>
      <w:tr w:rsidR="00C441F7" w:rsidRPr="00296E50" w14:paraId="7D11D1B2" w14:textId="77777777" w:rsidTr="007D544B">
        <w:tc>
          <w:tcPr>
            <w:tcW w:w="1447" w:type="dxa"/>
            <w:shd w:val="clear" w:color="auto" w:fill="F2F2F2" w:themeFill="background1" w:themeFillShade="F2"/>
            <w:vAlign w:val="center"/>
          </w:tcPr>
          <w:p w14:paraId="53EDBF7E" w14:textId="3E9B6961" w:rsidR="008F3C43" w:rsidRPr="00296E50" w:rsidRDefault="00E342FA" w:rsidP="00746EA6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Nazwa wyposażenia</w:t>
            </w:r>
          </w:p>
        </w:tc>
        <w:tc>
          <w:tcPr>
            <w:tcW w:w="649" w:type="dxa"/>
            <w:shd w:val="clear" w:color="auto" w:fill="F2F2F2" w:themeFill="background1" w:themeFillShade="F2"/>
            <w:vAlign w:val="center"/>
          </w:tcPr>
          <w:p w14:paraId="62D814A5" w14:textId="77777777" w:rsidR="008F3C43" w:rsidRPr="00296E50" w:rsidRDefault="008F3C43" w:rsidP="001C42A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Ilość</w:t>
            </w:r>
          </w:p>
        </w:tc>
        <w:tc>
          <w:tcPr>
            <w:tcW w:w="6722" w:type="dxa"/>
            <w:shd w:val="clear" w:color="auto" w:fill="F2F2F2" w:themeFill="background1" w:themeFillShade="F2"/>
            <w:vAlign w:val="center"/>
          </w:tcPr>
          <w:p w14:paraId="169CEFE9" w14:textId="77777777" w:rsidR="008F3C43" w:rsidRPr="00296E50" w:rsidRDefault="008F3C43" w:rsidP="001C42A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Opis przedmiotu zamówienia</w:t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1DAC7BB0" w14:textId="3FDF5281" w:rsidR="008F3C43" w:rsidRPr="00296E50" w:rsidRDefault="000D0DF8" w:rsidP="001C42A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Rysunek pomocniczy</w:t>
            </w:r>
          </w:p>
        </w:tc>
      </w:tr>
      <w:tr w:rsidR="00C441F7" w:rsidRPr="00296E50" w14:paraId="69AEC26A" w14:textId="77777777" w:rsidTr="007D544B">
        <w:trPr>
          <w:trHeight w:val="1413"/>
        </w:trPr>
        <w:tc>
          <w:tcPr>
            <w:tcW w:w="1447" w:type="dxa"/>
          </w:tcPr>
          <w:p w14:paraId="59184749" w14:textId="77777777" w:rsidR="008F3C43" w:rsidRDefault="008F3C43" w:rsidP="00C02E30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</w:rPr>
              <w:t>Sofa</w:t>
            </w:r>
          </w:p>
          <w:p w14:paraId="2FA693CC" w14:textId="46AADEAC" w:rsidR="00940597" w:rsidRPr="00B01EEE" w:rsidRDefault="00940597" w:rsidP="00C02E30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649" w:type="dxa"/>
          </w:tcPr>
          <w:p w14:paraId="2480D5F3" w14:textId="09866E85" w:rsidR="008F3C43" w:rsidRPr="00296E50" w:rsidRDefault="00132527" w:rsidP="00C02E30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4</w:t>
            </w:r>
          </w:p>
        </w:tc>
        <w:tc>
          <w:tcPr>
            <w:tcW w:w="6722" w:type="dxa"/>
          </w:tcPr>
          <w:p w14:paraId="467FAB34" w14:textId="6B49F046" w:rsidR="000805F5" w:rsidRPr="000805F5" w:rsidRDefault="000805F5" w:rsidP="00EC0D2F">
            <w:p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  <w:b/>
                <w:bCs/>
              </w:rPr>
              <w:t xml:space="preserve">1. </w:t>
            </w:r>
            <w:r w:rsidRPr="00203D32">
              <w:rPr>
                <w:rFonts w:asciiTheme="majorHAnsi" w:hAnsiTheme="majorHAnsi" w:cstheme="majorHAnsi"/>
              </w:rPr>
              <w:t>Przedmiotem zamówienia jest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>
              <w:rPr>
                <w:rFonts w:asciiTheme="majorHAnsi" w:hAnsiTheme="majorHAnsi" w:cstheme="majorHAnsi"/>
              </w:rPr>
              <w:t>d</w:t>
            </w:r>
            <w:r w:rsidRPr="000805F5">
              <w:rPr>
                <w:rFonts w:asciiTheme="majorHAnsi" w:hAnsiTheme="majorHAnsi" w:cstheme="majorHAnsi"/>
              </w:rPr>
              <w:t xml:space="preserve">ostawa, wniesienie do wskazanego </w:t>
            </w:r>
            <w:r w:rsidR="0012550E">
              <w:rPr>
                <w:rFonts w:asciiTheme="majorHAnsi" w:hAnsiTheme="majorHAnsi" w:cstheme="majorHAnsi"/>
              </w:rPr>
              <w:t>miejsca</w:t>
            </w:r>
            <w:r w:rsidRPr="000805F5">
              <w:rPr>
                <w:rFonts w:asciiTheme="majorHAnsi" w:hAnsiTheme="majorHAnsi" w:cstheme="majorHAnsi"/>
              </w:rPr>
              <w:t xml:space="preserve">, ustawienie oraz ewentualny montaż elementów (np. nóg) sofy 3-osobowej przeznaczonej do </w:t>
            </w:r>
            <w:r w:rsidR="0012550E">
              <w:rPr>
                <w:rFonts w:asciiTheme="majorHAnsi" w:hAnsiTheme="majorHAnsi" w:cstheme="majorHAnsi"/>
              </w:rPr>
              <w:t xml:space="preserve">intensywnego </w:t>
            </w:r>
            <w:r w:rsidRPr="000805F5">
              <w:rPr>
                <w:rFonts w:asciiTheme="majorHAnsi" w:hAnsiTheme="majorHAnsi" w:cstheme="majorHAnsi"/>
              </w:rPr>
              <w:t>użytkowania</w:t>
            </w:r>
            <w:r w:rsidR="0012550E">
              <w:rPr>
                <w:rFonts w:asciiTheme="majorHAnsi" w:hAnsiTheme="majorHAnsi" w:cstheme="majorHAnsi"/>
              </w:rPr>
              <w:t xml:space="preserve"> w placówkach oświatowych</w:t>
            </w:r>
            <w:r w:rsidRPr="000805F5">
              <w:rPr>
                <w:rFonts w:asciiTheme="majorHAnsi" w:hAnsiTheme="majorHAnsi" w:cstheme="majorHAnsi"/>
              </w:rPr>
              <w:t>).</w:t>
            </w:r>
          </w:p>
          <w:p w14:paraId="345F98E1" w14:textId="5D672A89" w:rsidR="000805F5" w:rsidRPr="000805F5" w:rsidRDefault="000805F5" w:rsidP="000805F5">
            <w:p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Dopuszcza się rozwiązania równoważne, tj. spełniające co najmniej wymagania minimalne określone poniżej.</w:t>
            </w:r>
          </w:p>
          <w:p w14:paraId="5278C754" w14:textId="77777777" w:rsidR="000805F5" w:rsidRPr="000805F5" w:rsidRDefault="000805F5" w:rsidP="000805F5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805F5">
              <w:rPr>
                <w:rFonts w:asciiTheme="majorHAnsi" w:hAnsiTheme="majorHAnsi" w:cstheme="majorHAnsi"/>
                <w:b/>
                <w:bCs/>
              </w:rPr>
              <w:t>2. Wymiary (zakresy – wymagania minimalne)</w:t>
            </w:r>
          </w:p>
          <w:p w14:paraId="7E83C850" w14:textId="77777777" w:rsidR="000805F5" w:rsidRPr="000805F5" w:rsidRDefault="000805F5" w:rsidP="00A24EE3">
            <w:pPr>
              <w:numPr>
                <w:ilvl w:val="0"/>
                <w:numId w:val="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szerokość całkowita: 170–200 cm</w:t>
            </w:r>
          </w:p>
          <w:p w14:paraId="20A8AD5C" w14:textId="77777777" w:rsidR="000805F5" w:rsidRPr="000805F5" w:rsidRDefault="000805F5" w:rsidP="00A24EE3">
            <w:pPr>
              <w:numPr>
                <w:ilvl w:val="0"/>
                <w:numId w:val="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głębokość całkowita: 70–90 cm</w:t>
            </w:r>
          </w:p>
          <w:p w14:paraId="020F657D" w14:textId="77777777" w:rsidR="000805F5" w:rsidRPr="000805F5" w:rsidRDefault="000805F5" w:rsidP="00A24EE3">
            <w:pPr>
              <w:numPr>
                <w:ilvl w:val="0"/>
                <w:numId w:val="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wysokość całkowita: 70–90 cm</w:t>
            </w:r>
          </w:p>
          <w:p w14:paraId="23B50F54" w14:textId="77777777" w:rsidR="000805F5" w:rsidRPr="000805F5" w:rsidRDefault="000805F5" w:rsidP="00A24EE3">
            <w:pPr>
              <w:numPr>
                <w:ilvl w:val="0"/>
                <w:numId w:val="7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wysokość siedziska: 40–48 cm</w:t>
            </w:r>
          </w:p>
          <w:p w14:paraId="5B62DA45" w14:textId="1118CF68" w:rsidR="00574B94" w:rsidRPr="000805F5" w:rsidRDefault="000805F5" w:rsidP="00C7569D">
            <w:p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C7569D">
              <w:rPr>
                <w:rFonts w:asciiTheme="majorHAnsi" w:hAnsiTheme="majorHAnsi" w:cstheme="majorHAnsi"/>
              </w:rPr>
              <w:t xml:space="preserve">Dopuszcza się wymiary w ww. zakresach, przy zachowaniu funkcji sofy </w:t>
            </w:r>
            <w:r w:rsidR="003E4483">
              <w:rPr>
                <w:rFonts w:asciiTheme="majorHAnsi" w:hAnsiTheme="majorHAnsi" w:cstheme="majorHAnsi"/>
              </w:rPr>
              <w:br/>
            </w:r>
            <w:r w:rsidRPr="00C7569D">
              <w:rPr>
                <w:rFonts w:asciiTheme="majorHAnsi" w:hAnsiTheme="majorHAnsi" w:cstheme="majorHAnsi"/>
              </w:rPr>
              <w:t>3-osobowej i ergonomii użytkowania w gabinecie</w:t>
            </w:r>
            <w:r w:rsidRPr="000805F5">
              <w:rPr>
                <w:rFonts w:asciiTheme="majorHAnsi" w:hAnsiTheme="majorHAnsi" w:cstheme="majorHAnsi"/>
                <w:b/>
                <w:bCs/>
              </w:rPr>
              <w:t>.</w:t>
            </w:r>
          </w:p>
          <w:p w14:paraId="204A6E99" w14:textId="77777777" w:rsidR="000805F5" w:rsidRPr="000805F5" w:rsidRDefault="000805F5" w:rsidP="000805F5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805F5">
              <w:rPr>
                <w:rFonts w:asciiTheme="majorHAnsi" w:hAnsiTheme="majorHAnsi" w:cstheme="majorHAnsi"/>
                <w:b/>
                <w:bCs/>
              </w:rPr>
              <w:t>3. Konstrukcja i stabilność</w:t>
            </w:r>
          </w:p>
          <w:p w14:paraId="62819BC7" w14:textId="060DF887" w:rsidR="000805F5" w:rsidRPr="00E342FA" w:rsidRDefault="000805F5">
            <w:pPr>
              <w:pStyle w:val="Akapitzlist"/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E342FA">
              <w:rPr>
                <w:rFonts w:asciiTheme="majorHAnsi" w:hAnsiTheme="majorHAnsi" w:cstheme="majorHAnsi"/>
              </w:rPr>
              <w:t>Stelaż (konstrukcja nośna) trwały, przeznaczony do intensywnego użytkowania: drewno/sklejka/metal/kompozyt – lub równoważne.</w:t>
            </w:r>
          </w:p>
          <w:p w14:paraId="214203FA" w14:textId="77777777" w:rsidR="000805F5" w:rsidRPr="000805F5" w:rsidRDefault="000805F5">
            <w:pPr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Sofa stabilna, bez chybotania, połączenia trwałe, bez luzów.</w:t>
            </w:r>
          </w:p>
          <w:p w14:paraId="5BA2B68E" w14:textId="5A60D45B" w:rsidR="00A24EE3" w:rsidRPr="00A24EE3" w:rsidRDefault="000805F5">
            <w:pPr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Nogi/stópki z zabezpieczeniem podłoża (nie rysujące, nie brudzące).</w:t>
            </w:r>
          </w:p>
          <w:p w14:paraId="21D1966C" w14:textId="03523319" w:rsidR="00A24EE3" w:rsidRPr="00A24EE3" w:rsidRDefault="00A24EE3">
            <w:pPr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Wymagane podłokietniki/wyprofilowane boki</w:t>
            </w:r>
            <w:r>
              <w:rPr>
                <w:rFonts w:asciiTheme="majorHAnsi" w:hAnsiTheme="majorHAnsi" w:cstheme="majorHAnsi"/>
              </w:rPr>
              <w:t>.</w:t>
            </w:r>
          </w:p>
          <w:p w14:paraId="06A328DF" w14:textId="4380A186" w:rsidR="000805F5" w:rsidRPr="00A24EE3" w:rsidRDefault="000805F5">
            <w:pPr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Nośność odpowiednia dla sofy 3-osobowej – potwierdzona w dokumentacji producenta.</w:t>
            </w:r>
          </w:p>
          <w:p w14:paraId="5334870B" w14:textId="2F2FB59A" w:rsidR="00A24EE3" w:rsidRDefault="00964A4D">
            <w:pPr>
              <w:numPr>
                <w:ilvl w:val="0"/>
                <w:numId w:val="48"/>
              </w:num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964A4D">
              <w:rPr>
                <w:rFonts w:asciiTheme="majorHAnsi" w:hAnsiTheme="majorHAnsi" w:cstheme="majorHAnsi"/>
              </w:rPr>
              <w:t>Wypełnienie spełnia wymagania określone w Rozdziale I pkt 7</w:t>
            </w:r>
            <w:r w:rsidR="001B2603">
              <w:rPr>
                <w:rFonts w:asciiTheme="majorHAnsi" w:hAnsiTheme="majorHAnsi" w:cstheme="majorHAnsi"/>
              </w:rPr>
              <w:t>.</w:t>
            </w:r>
          </w:p>
          <w:p w14:paraId="50CD2488" w14:textId="5BA6D7A9" w:rsidR="000805F5" w:rsidRPr="00A24EE3" w:rsidRDefault="000805F5">
            <w:pPr>
              <w:pStyle w:val="Akapitzlist"/>
              <w:numPr>
                <w:ilvl w:val="0"/>
                <w:numId w:val="49"/>
              </w:num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A24EE3">
              <w:rPr>
                <w:rFonts w:asciiTheme="majorHAnsi" w:hAnsiTheme="majorHAnsi" w:cstheme="majorHAnsi"/>
                <w:b/>
                <w:bCs/>
              </w:rPr>
              <w:t>Tapicerka i utrzymanie higieny</w:t>
            </w:r>
          </w:p>
          <w:p w14:paraId="2CCDED31" w14:textId="7FBD411B" w:rsidR="00A24EE3" w:rsidRPr="00A24EE3" w:rsidRDefault="00580322">
            <w:pPr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580322">
              <w:rPr>
                <w:rFonts w:asciiTheme="majorHAnsi" w:hAnsiTheme="majorHAnsi" w:cstheme="majorHAnsi"/>
              </w:rPr>
              <w:t>Tapicerka wykonana z wysokiej jakości tkaniny tapicerskiej przeznaczonej do intensywnego użytkowania w przestrzeniach publicznych, oddychającej, komfortowej w użytkowaniu oraz łatwej w utrzymaniu czystości.</w:t>
            </w:r>
          </w:p>
          <w:p w14:paraId="7CEFC5FC" w14:textId="77777777" w:rsidR="00940597" w:rsidRPr="00940597" w:rsidRDefault="00574B94">
            <w:pPr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A24EE3">
              <w:rPr>
                <w:rFonts w:asciiTheme="majorHAnsi" w:hAnsiTheme="majorHAnsi" w:cstheme="majorHAnsi"/>
                <w:b/>
                <w:bCs/>
              </w:rPr>
              <w:t>Kolor tapicerki</w:t>
            </w:r>
            <w:r w:rsidRPr="00257440">
              <w:rPr>
                <w:rFonts w:asciiTheme="majorHAnsi" w:hAnsiTheme="majorHAnsi" w:cstheme="majorHAnsi"/>
              </w:rPr>
              <w:t xml:space="preserve">: </w:t>
            </w:r>
          </w:p>
          <w:p w14:paraId="17D54CB6" w14:textId="2A351186" w:rsidR="00574B94" w:rsidRDefault="00940597" w:rsidP="00940597">
            <w:pPr>
              <w:spacing w:after="0" w:line="240" w:lineRule="auto"/>
              <w:ind w:left="720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Sofa 1 –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574B94" w:rsidRPr="00257440">
              <w:rPr>
                <w:rFonts w:asciiTheme="majorHAnsi" w:hAnsiTheme="majorHAnsi" w:cstheme="majorHAnsi"/>
              </w:rPr>
              <w:t>czarn</w:t>
            </w:r>
            <w:r>
              <w:rPr>
                <w:rFonts w:asciiTheme="majorHAnsi" w:hAnsiTheme="majorHAnsi" w:cstheme="majorHAnsi"/>
              </w:rPr>
              <w:t>a</w:t>
            </w:r>
            <w:r w:rsidR="00574B94" w:rsidRPr="00257440">
              <w:rPr>
                <w:rFonts w:asciiTheme="majorHAnsi" w:hAnsiTheme="majorHAnsi" w:cstheme="majorHAnsi"/>
              </w:rPr>
              <w:t>.</w:t>
            </w:r>
            <w:r w:rsidR="00A24EE3">
              <w:rPr>
                <w:rFonts w:asciiTheme="majorHAnsi" w:hAnsiTheme="majorHAnsi" w:cstheme="majorHAnsi"/>
              </w:rPr>
              <w:t xml:space="preserve"> </w:t>
            </w:r>
            <w:r w:rsidR="00574B94" w:rsidRPr="00A24EE3">
              <w:rPr>
                <w:rFonts w:asciiTheme="majorHAnsi" w:hAnsiTheme="majorHAnsi" w:cstheme="majorHAnsi"/>
              </w:rPr>
              <w:t>Odpowiednik referencyjny: RAL 9005.</w:t>
            </w:r>
          </w:p>
          <w:p w14:paraId="140FAD22" w14:textId="10CEE3E6" w:rsidR="00940597" w:rsidRPr="00940597" w:rsidRDefault="00940597" w:rsidP="00940597">
            <w:pPr>
              <w:spacing w:after="0" w:line="240" w:lineRule="auto"/>
              <w:ind w:left="720"/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Sofa 2 – </w:t>
            </w:r>
            <w:r w:rsidRPr="00940597">
              <w:rPr>
                <w:rFonts w:asciiTheme="majorHAnsi" w:hAnsiTheme="majorHAnsi" w:cstheme="majorHAnsi"/>
              </w:rPr>
              <w:t>beżowa</w:t>
            </w:r>
            <w:r>
              <w:rPr>
                <w:rFonts w:asciiTheme="majorHAnsi" w:hAnsiTheme="majorHAnsi" w:cstheme="majorHAnsi"/>
                <w:b/>
                <w:bCs/>
              </w:rPr>
              <w:t>.</w:t>
            </w:r>
            <w:r w:rsidRPr="001B3529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940597">
              <w:rPr>
                <w:rFonts w:asciiTheme="majorHAnsi" w:hAnsiTheme="majorHAnsi" w:cstheme="majorHAnsi"/>
              </w:rPr>
              <w:t>Odpowiednik referencyjny: RAL 1015.</w:t>
            </w:r>
          </w:p>
          <w:p w14:paraId="61B49BE4" w14:textId="6CB9BB6B" w:rsidR="00940597" w:rsidRDefault="00940597" w:rsidP="00940597">
            <w:pPr>
              <w:spacing w:after="0" w:line="240" w:lineRule="auto"/>
              <w:ind w:left="720"/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Sofa 3 – </w:t>
            </w:r>
            <w:r w:rsidRPr="00940597">
              <w:rPr>
                <w:rFonts w:asciiTheme="majorHAnsi" w:hAnsiTheme="majorHAnsi" w:cstheme="majorHAnsi"/>
              </w:rPr>
              <w:t>szara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. </w:t>
            </w:r>
            <w:r w:rsidRPr="00940597">
              <w:rPr>
                <w:rFonts w:asciiTheme="majorHAnsi" w:hAnsiTheme="majorHAnsi" w:cstheme="majorHAnsi"/>
              </w:rPr>
              <w:t>Odpowiednik referencyjny RAL 7040.</w:t>
            </w:r>
          </w:p>
          <w:p w14:paraId="42C90EAE" w14:textId="3495427C" w:rsidR="00940597" w:rsidRPr="00A24EE3" w:rsidRDefault="00940597" w:rsidP="00940597">
            <w:pPr>
              <w:spacing w:after="0" w:line="240" w:lineRule="auto"/>
              <w:ind w:left="720"/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Sofa 4 – </w:t>
            </w:r>
            <w:r w:rsidRPr="00940597">
              <w:rPr>
                <w:rFonts w:asciiTheme="majorHAnsi" w:hAnsiTheme="majorHAnsi" w:cstheme="majorHAnsi"/>
              </w:rPr>
              <w:t>limonk</w:t>
            </w:r>
            <w:r w:rsidR="00F62C8E">
              <w:rPr>
                <w:rFonts w:asciiTheme="majorHAnsi" w:hAnsiTheme="majorHAnsi" w:cstheme="majorHAnsi"/>
                <w:b/>
                <w:bCs/>
              </w:rPr>
              <w:t>a</w:t>
            </w:r>
            <w:r w:rsidR="00DF5526" w:rsidRPr="00833900">
              <w:rPr>
                <w:rFonts w:asciiTheme="majorHAnsi" w:hAnsiTheme="majorHAnsi" w:cstheme="majorHAnsi"/>
                <w:u w:val="single"/>
              </w:rPr>
              <w:t>(zielono-żółty).</w:t>
            </w:r>
            <w:r w:rsidR="00DF5526" w:rsidRPr="00500E81">
              <w:rPr>
                <w:rFonts w:asciiTheme="majorHAnsi" w:hAnsiTheme="majorHAnsi" w:cstheme="majorHAnsi"/>
              </w:rPr>
              <w:t xml:space="preserve"> </w:t>
            </w:r>
            <w:r w:rsidR="00DF5526">
              <w:rPr>
                <w:rFonts w:asciiTheme="majorHAnsi" w:hAnsiTheme="majorHAnsi" w:cstheme="majorHAnsi"/>
              </w:rPr>
              <w:t>K</w:t>
            </w:r>
            <w:r w:rsidR="00DF5526" w:rsidRPr="00500E81">
              <w:rPr>
                <w:rFonts w:asciiTheme="majorHAnsi" w:hAnsiTheme="majorHAnsi" w:cstheme="majorHAnsi"/>
              </w:rPr>
              <w:t>olor bazowy jako odpowiednik RAL 6018 lub NCS S 1070-G60Y.</w:t>
            </w:r>
          </w:p>
          <w:p w14:paraId="1C740452" w14:textId="5D245D7F" w:rsidR="003B5456" w:rsidRDefault="00574B94" w:rsidP="00961EEC">
            <w:p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574B94">
              <w:rPr>
                <w:rFonts w:asciiTheme="majorHAnsi" w:hAnsiTheme="majorHAnsi" w:cstheme="majorHAnsi"/>
              </w:rPr>
              <w:t>Dopuszcza się odcienie równoważne z palety producenta,</w:t>
            </w:r>
            <w:r w:rsidR="00DF5526">
              <w:rPr>
                <w:rFonts w:asciiTheme="majorHAnsi" w:hAnsiTheme="majorHAnsi" w:cstheme="majorHAnsi"/>
              </w:rPr>
              <w:t xml:space="preserve"> </w:t>
            </w:r>
            <w:r w:rsidRPr="00574B94">
              <w:rPr>
                <w:rFonts w:asciiTheme="majorHAnsi" w:hAnsiTheme="majorHAnsi" w:cstheme="majorHAnsi"/>
              </w:rPr>
              <w:t>o zbliżonej głębi i nasyceniu koloru.</w:t>
            </w:r>
          </w:p>
          <w:p w14:paraId="0610EF12" w14:textId="77777777" w:rsidR="00F62C8E" w:rsidRPr="0095207A" w:rsidRDefault="00F62C8E" w:rsidP="00961EEC">
            <w:p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</w:p>
          <w:p w14:paraId="4726B876" w14:textId="07A8ADA5" w:rsidR="000805F5" w:rsidRPr="000805F5" w:rsidRDefault="000805F5" w:rsidP="00574B94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0805F5">
              <w:rPr>
                <w:rFonts w:asciiTheme="majorHAnsi" w:hAnsiTheme="majorHAnsi" w:cstheme="majorHAnsi"/>
                <w:b/>
                <w:bCs/>
              </w:rPr>
              <w:t>6. Normy i wymagania (lub równoważne)</w:t>
            </w:r>
          </w:p>
          <w:p w14:paraId="337F6188" w14:textId="77777777" w:rsidR="000805F5" w:rsidRPr="000805F5" w:rsidRDefault="000805F5">
            <w:pPr>
              <w:numPr>
                <w:ilvl w:val="0"/>
                <w:numId w:val="51"/>
              </w:numPr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Sofa powinna spełniać wymagania w zakresie bezpieczeństwa, wytrzymałości i trwałości dla siedzisk wg PN-EN 16139 lub norm równoważnych.</w:t>
            </w:r>
          </w:p>
          <w:p w14:paraId="68A74395" w14:textId="4ECB31C8" w:rsidR="00325871" w:rsidRPr="00C87E02" w:rsidRDefault="000805F5">
            <w:pPr>
              <w:numPr>
                <w:ilvl w:val="0"/>
                <w:numId w:val="51"/>
              </w:numPr>
              <w:spacing w:after="0" w:line="240" w:lineRule="auto"/>
              <w:rPr>
                <w:rFonts w:asciiTheme="majorHAnsi" w:hAnsiTheme="majorHAnsi" w:cstheme="majorHAnsi"/>
              </w:rPr>
            </w:pPr>
            <w:r w:rsidRPr="000805F5">
              <w:rPr>
                <w:rFonts w:asciiTheme="majorHAnsi" w:hAnsiTheme="majorHAnsi" w:cstheme="majorHAnsi"/>
              </w:rPr>
              <w:t>Dla odporności na zapłon (zalecane dla obiektów użyteczności publicznej): PN-EN 1021-1 i 1021-2 lub równoważne – jeżeli producent deklaruje/bada ten parametr.</w:t>
            </w:r>
          </w:p>
        </w:tc>
        <w:tc>
          <w:tcPr>
            <w:tcW w:w="4961" w:type="dxa"/>
          </w:tcPr>
          <w:p w14:paraId="57015247" w14:textId="6CF6E935" w:rsidR="00894ED9" w:rsidRPr="00296E50" w:rsidRDefault="00894ED9" w:rsidP="00091D66">
            <w:pPr>
              <w:spacing w:after="0"/>
              <w:rPr>
                <w:rFonts w:asciiTheme="majorHAnsi" w:hAnsiTheme="majorHAnsi" w:cstheme="majorHAnsi"/>
                <w:color w:val="0462C1"/>
              </w:rPr>
            </w:pPr>
          </w:p>
          <w:p w14:paraId="2EDA4D70" w14:textId="77777777" w:rsidR="00894ED9" w:rsidRPr="00296E50" w:rsidRDefault="00894ED9" w:rsidP="006F7424">
            <w:pPr>
              <w:jc w:val="center"/>
              <w:rPr>
                <w:rFonts w:asciiTheme="majorHAnsi" w:hAnsiTheme="majorHAnsi" w:cstheme="majorHAnsi"/>
                <w:noProof/>
              </w:rPr>
            </w:pPr>
            <w:r w:rsidRPr="00296E50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7B97E768" wp14:editId="2D8076CE">
                  <wp:extent cx="2446020" cy="1927860"/>
                  <wp:effectExtent l="0" t="0" r="0" b="0"/>
                  <wp:docPr id="160978296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1927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8BE5AD0" w14:textId="7FEA2874" w:rsidR="00B1521C" w:rsidRPr="00296E50" w:rsidRDefault="00B1521C" w:rsidP="006F7424">
            <w:pPr>
              <w:tabs>
                <w:tab w:val="left" w:pos="1440"/>
              </w:tabs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</w:rPr>
              <w:t>*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Rysunek ma charakter poglądowy i nie stanowi wskazania producenta. Wymiary wymagane określone są wyłącznie w opisie przedmiotu zamówienia</w:t>
            </w:r>
            <w:r w:rsidR="00F4174D" w:rsidRPr="00296E50">
              <w:rPr>
                <w:rFonts w:asciiTheme="majorHAnsi" w:hAnsiTheme="majorHAnsi" w:cstheme="majorHAnsi"/>
                <w:i/>
                <w:iCs/>
              </w:rPr>
              <w:t>.</w:t>
            </w:r>
          </w:p>
        </w:tc>
      </w:tr>
      <w:tr w:rsidR="00C441F7" w:rsidRPr="00296E50" w14:paraId="55A642DA" w14:textId="77777777" w:rsidTr="00F23E87">
        <w:trPr>
          <w:trHeight w:val="979"/>
        </w:trPr>
        <w:tc>
          <w:tcPr>
            <w:tcW w:w="1447" w:type="dxa"/>
          </w:tcPr>
          <w:p w14:paraId="70654914" w14:textId="77777777" w:rsidR="008F3C43" w:rsidRPr="00B01EEE" w:rsidRDefault="008F3C43" w:rsidP="004C416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</w:rPr>
              <w:t>Fotel</w:t>
            </w:r>
          </w:p>
        </w:tc>
        <w:tc>
          <w:tcPr>
            <w:tcW w:w="649" w:type="dxa"/>
          </w:tcPr>
          <w:p w14:paraId="78B165AB" w14:textId="4853F589" w:rsidR="008F3C43" w:rsidRPr="00296E50" w:rsidRDefault="0053359D" w:rsidP="004C416C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6</w:t>
            </w:r>
          </w:p>
        </w:tc>
        <w:tc>
          <w:tcPr>
            <w:tcW w:w="6722" w:type="dxa"/>
          </w:tcPr>
          <w:p w14:paraId="246A4685" w14:textId="77777777" w:rsidR="00A64188" w:rsidRPr="00A64188" w:rsidRDefault="00A64188" w:rsidP="00A64188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A64188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1C201F74" w14:textId="77777777" w:rsidR="00A64188" w:rsidRPr="00A64188" w:rsidRDefault="00A64188" w:rsidP="00337E1D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Dostawa, wniesienie do wskazanego gabinetu, ustawienie oraz ewentualny montaż elementów (np. nóg)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fotela tapicerowanego</w:t>
            </w:r>
            <w:r w:rsidRPr="00A64188">
              <w:rPr>
                <w:rFonts w:asciiTheme="majorHAnsi" w:hAnsiTheme="majorHAnsi" w:cstheme="majorHAnsi"/>
              </w:rPr>
              <w:t xml:space="preserve"> przeznaczonego do użytkowania w gabinetach nauczycieli–specjalistów (rozmowy indywidualne z uczniem/rodzicem).</w:t>
            </w:r>
          </w:p>
          <w:p w14:paraId="612C0311" w14:textId="1DED5730" w:rsidR="00A74C22" w:rsidRPr="00A64188" w:rsidRDefault="00A64188" w:rsidP="00195973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Dopuszcza się rozwiązania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A64188">
              <w:rPr>
                <w:rFonts w:asciiTheme="majorHAnsi" w:hAnsiTheme="majorHAnsi" w:cstheme="majorHAnsi"/>
              </w:rPr>
              <w:t>, tj. spełniające co najmniej wymagania minimalne określone poniżej (funkcjonalność, trwałość, bezpieczeństwo i estetyka).</w:t>
            </w:r>
          </w:p>
          <w:p w14:paraId="28C29CF2" w14:textId="77777777" w:rsidR="00A64188" w:rsidRPr="00A64188" w:rsidRDefault="00A64188" w:rsidP="00A64188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2. Wymiary (zakresy – wymagania minimalne)</w:t>
            </w:r>
          </w:p>
          <w:p w14:paraId="4D0BB48C" w14:textId="77777777" w:rsidR="00A64188" w:rsidRPr="00A64188" w:rsidRDefault="00A64188">
            <w:pPr>
              <w:pStyle w:val="Akapitzlist"/>
              <w:numPr>
                <w:ilvl w:val="0"/>
                <w:numId w:val="8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szerokość całkowita: 70–90 cm</w:t>
            </w:r>
          </w:p>
          <w:p w14:paraId="551A4762" w14:textId="77777777" w:rsidR="00A64188" w:rsidRPr="00A64188" w:rsidRDefault="00A64188">
            <w:pPr>
              <w:pStyle w:val="Akapitzlist"/>
              <w:numPr>
                <w:ilvl w:val="0"/>
                <w:numId w:val="8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głębokość całkowita: 70–90 cm</w:t>
            </w:r>
          </w:p>
          <w:p w14:paraId="6C316359" w14:textId="77777777" w:rsidR="00A64188" w:rsidRPr="00A64188" w:rsidRDefault="00A64188">
            <w:pPr>
              <w:pStyle w:val="Akapitzlist"/>
              <w:numPr>
                <w:ilvl w:val="0"/>
                <w:numId w:val="8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wysokość całkowita: 75–95 cm</w:t>
            </w:r>
          </w:p>
          <w:p w14:paraId="3DBD4AFD" w14:textId="77777777" w:rsidR="00A64188" w:rsidRPr="00A64188" w:rsidRDefault="00A64188">
            <w:pPr>
              <w:pStyle w:val="Akapitzlist"/>
              <w:numPr>
                <w:ilvl w:val="0"/>
                <w:numId w:val="8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wysokość siedziska: 40–50 cm</w:t>
            </w:r>
          </w:p>
          <w:p w14:paraId="21F296EA" w14:textId="77777777" w:rsidR="00A64188" w:rsidRPr="00A64188" w:rsidRDefault="00A64188">
            <w:pPr>
              <w:pStyle w:val="Akapitzlist"/>
              <w:numPr>
                <w:ilvl w:val="0"/>
                <w:numId w:val="8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głębokość siedziska: 45–60 cm</w:t>
            </w:r>
          </w:p>
          <w:p w14:paraId="41818A46" w14:textId="6095BA1F" w:rsidR="00A64188" w:rsidRPr="00A64188" w:rsidRDefault="00A64188" w:rsidP="00A64188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Dopuszcza się wymiary w ww. zakresach przy zachowaniu ergonomii oraz stabilności.</w:t>
            </w:r>
          </w:p>
          <w:p w14:paraId="21A27048" w14:textId="77777777" w:rsidR="00A64188" w:rsidRPr="00A64188" w:rsidRDefault="00A64188" w:rsidP="00A64188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A64188">
              <w:rPr>
                <w:rFonts w:asciiTheme="majorHAnsi" w:hAnsiTheme="majorHAnsi" w:cstheme="majorHAnsi"/>
                <w:b/>
                <w:bCs/>
              </w:rPr>
              <w:t>3. Konstrukcja i stabilność</w:t>
            </w:r>
          </w:p>
          <w:p w14:paraId="6FBA2D41" w14:textId="77777777" w:rsidR="00A64188" w:rsidRPr="00A64188" w:rsidRDefault="00A64188">
            <w:pPr>
              <w:pStyle w:val="Akapitzlist"/>
              <w:numPr>
                <w:ilvl w:val="0"/>
                <w:numId w:val="9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Stelaż/konstrukcja nośna trwała: drewno/sklejka/metal/kompozyt –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lub równoważne</w:t>
            </w:r>
            <w:r w:rsidRPr="00A64188">
              <w:rPr>
                <w:rFonts w:asciiTheme="majorHAnsi" w:hAnsiTheme="majorHAnsi" w:cstheme="majorHAnsi"/>
              </w:rPr>
              <w:t>.</w:t>
            </w:r>
          </w:p>
          <w:p w14:paraId="5467122B" w14:textId="77777777" w:rsidR="00A64188" w:rsidRPr="00A64188" w:rsidRDefault="00A64188">
            <w:pPr>
              <w:pStyle w:val="Akapitzlist"/>
              <w:numPr>
                <w:ilvl w:val="0"/>
                <w:numId w:val="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Fotel stabilny, bez chybotania; połączenia trwałe, bez luzów.</w:t>
            </w:r>
          </w:p>
          <w:p w14:paraId="1130E9B2" w14:textId="77777777" w:rsidR="00A64188" w:rsidRPr="00A64188" w:rsidRDefault="00A64188">
            <w:pPr>
              <w:pStyle w:val="Akapitzlist"/>
              <w:numPr>
                <w:ilvl w:val="0"/>
                <w:numId w:val="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Nogi/podstawa w kolorze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białym</w:t>
            </w:r>
            <w:r w:rsidRPr="00A64188">
              <w:rPr>
                <w:rFonts w:asciiTheme="majorHAnsi" w:hAnsiTheme="majorHAnsi" w:cstheme="majorHAnsi"/>
              </w:rPr>
              <w:t xml:space="preserve"> (lub równoważny efekt wizualny), z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zabezpieczeniem podłoża</w:t>
            </w:r>
            <w:r w:rsidRPr="00A64188">
              <w:rPr>
                <w:rFonts w:asciiTheme="majorHAnsi" w:hAnsiTheme="majorHAnsi" w:cstheme="majorHAnsi"/>
              </w:rPr>
              <w:t xml:space="preserve"> (stopki niebrudzące, nie rysujące).</w:t>
            </w:r>
          </w:p>
          <w:p w14:paraId="6631310C" w14:textId="7BA7CFDD" w:rsidR="00F62C8E" w:rsidRPr="00F62C8E" w:rsidRDefault="00A64188" w:rsidP="00F62C8E">
            <w:pPr>
              <w:pStyle w:val="Akapitzlist"/>
              <w:numPr>
                <w:ilvl w:val="0"/>
                <w:numId w:val="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Minimalna dopuszczalna nośność użytkowa: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min. 110 kg</w:t>
            </w:r>
            <w:r w:rsidRPr="00A64188">
              <w:rPr>
                <w:rFonts w:asciiTheme="majorHAnsi" w:hAnsiTheme="majorHAnsi" w:cstheme="majorHAnsi"/>
              </w:rPr>
              <w:t xml:space="preserve"> (dopuszcza się wyższą) – potwierdzona w dokumentacji producenta.</w:t>
            </w:r>
          </w:p>
          <w:p w14:paraId="45A42DA7" w14:textId="77777777" w:rsidR="00A64188" w:rsidRPr="00A64188" w:rsidRDefault="00A64188" w:rsidP="00A64188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A64188">
              <w:rPr>
                <w:rFonts w:asciiTheme="majorHAnsi" w:hAnsiTheme="majorHAnsi" w:cstheme="majorHAnsi"/>
                <w:b/>
                <w:bCs/>
              </w:rPr>
              <w:t>4. Siedzisko i oparcie – komfort gabinetowy</w:t>
            </w:r>
          </w:p>
          <w:p w14:paraId="680A043D" w14:textId="494AF75D" w:rsidR="00964A4D" w:rsidRPr="00964A4D" w:rsidRDefault="00964A4D">
            <w:pPr>
              <w:pStyle w:val="Akapitzlist"/>
              <w:numPr>
                <w:ilvl w:val="0"/>
                <w:numId w:val="1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964A4D">
              <w:rPr>
                <w:rFonts w:asciiTheme="majorHAnsi" w:hAnsiTheme="majorHAnsi" w:cstheme="majorHAnsi"/>
              </w:rPr>
              <w:t>Wypełnienie spełnia wymagania określone w Rozdziale I pkt 7 OPZ.</w:t>
            </w:r>
          </w:p>
          <w:p w14:paraId="695F13B1" w14:textId="3FA5D317" w:rsidR="00A77263" w:rsidRPr="00C87E02" w:rsidRDefault="00A64188">
            <w:pPr>
              <w:pStyle w:val="Akapitzlist"/>
              <w:numPr>
                <w:ilvl w:val="0"/>
                <w:numId w:val="1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Zalecane podłokietniki/wyprofilowane boki (jeżeli wynikają </w:t>
            </w:r>
            <w:r w:rsidR="00A74C22">
              <w:rPr>
                <w:rFonts w:asciiTheme="majorHAnsi" w:hAnsiTheme="majorHAnsi" w:cstheme="majorHAnsi"/>
              </w:rPr>
              <w:br/>
            </w:r>
            <w:r w:rsidRPr="00A64188">
              <w:rPr>
                <w:rFonts w:asciiTheme="majorHAnsi" w:hAnsiTheme="majorHAnsi" w:cstheme="majorHAnsi"/>
              </w:rPr>
              <w:t>z konstrukcji fotela) – wymagane, aby konstrukcja wspierała stabilną pozycję siedzącą.</w:t>
            </w:r>
          </w:p>
          <w:p w14:paraId="680B46B7" w14:textId="073BC77C" w:rsidR="00D45A1B" w:rsidRPr="00D45A1B" w:rsidRDefault="00A64188" w:rsidP="00D45A1B">
            <w:pPr>
              <w:spacing w:after="0"/>
              <w:rPr>
                <w:rFonts w:asciiTheme="majorHAnsi" w:hAnsiTheme="majorHAnsi" w:cstheme="majorHAnsi"/>
              </w:rPr>
            </w:pPr>
            <w:r w:rsidRPr="00D45A1B">
              <w:rPr>
                <w:rFonts w:asciiTheme="majorHAnsi" w:hAnsiTheme="majorHAnsi" w:cstheme="majorHAnsi"/>
                <w:b/>
                <w:bCs/>
              </w:rPr>
              <w:t>5. Tapicerka</w:t>
            </w:r>
            <w:r w:rsidR="00D45A1B" w:rsidRPr="00D45A1B">
              <w:rPr>
                <w:rFonts w:asciiTheme="majorHAnsi" w:hAnsiTheme="majorHAnsi" w:cstheme="majorHAnsi"/>
                <w:b/>
                <w:bCs/>
              </w:rPr>
              <w:t>:</w:t>
            </w:r>
            <w:r w:rsidR="00D45A1B" w:rsidRPr="00D45A1B">
              <w:rPr>
                <w:rFonts w:asciiTheme="majorHAnsi" w:hAnsiTheme="majorHAnsi" w:cstheme="majorHAnsi"/>
              </w:rPr>
              <w:t xml:space="preserve"> </w:t>
            </w:r>
          </w:p>
          <w:p w14:paraId="50C3E5DA" w14:textId="77777777" w:rsidR="0053359D" w:rsidRPr="0053359D" w:rsidRDefault="00395A5C" w:rsidP="0053359D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53359D">
              <w:rPr>
                <w:rFonts w:asciiTheme="majorHAnsi" w:hAnsiTheme="majorHAnsi" w:cstheme="majorHAnsi"/>
                <w:b/>
                <w:bCs/>
              </w:rPr>
              <w:t>Kolor tapicerki:</w:t>
            </w:r>
          </w:p>
          <w:p w14:paraId="35711EB6" w14:textId="77A72DAB" w:rsidR="0053359D" w:rsidRPr="0053359D" w:rsidRDefault="0053359D" w:rsidP="0053359D">
            <w:pPr>
              <w:spacing w:after="0"/>
              <w:ind w:left="360"/>
              <w:rPr>
                <w:rFonts w:asciiTheme="majorHAnsi" w:hAnsiTheme="majorHAnsi" w:cstheme="majorHAnsi"/>
                <w:b/>
                <w:bCs/>
              </w:rPr>
            </w:pPr>
            <w:r w:rsidRPr="0053359D">
              <w:rPr>
                <w:rFonts w:asciiTheme="majorHAnsi" w:hAnsiTheme="majorHAnsi" w:cstheme="majorHAnsi"/>
                <w:b/>
                <w:bCs/>
              </w:rPr>
              <w:t>3 szt</w:t>
            </w:r>
            <w:r w:rsidR="00395A5C" w:rsidRPr="0053359D">
              <w:rPr>
                <w:rFonts w:asciiTheme="majorHAnsi" w:hAnsiTheme="majorHAnsi" w:cstheme="majorHAnsi"/>
                <w:b/>
                <w:bCs/>
              </w:rPr>
              <w:t>.</w:t>
            </w:r>
            <w:r w:rsidR="004E669E" w:rsidRPr="0053359D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– o</w:t>
            </w:r>
            <w:r w:rsidR="00395A5C" w:rsidRPr="0053359D">
              <w:rPr>
                <w:rFonts w:asciiTheme="majorHAnsi" w:hAnsiTheme="majorHAnsi" w:cstheme="majorHAnsi"/>
                <w:b/>
                <w:bCs/>
              </w:rPr>
              <w:t>dpowiednik RAL 9005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53359D">
              <w:rPr>
                <w:rFonts w:asciiTheme="majorHAnsi" w:hAnsiTheme="majorHAnsi" w:cstheme="majorHAnsi"/>
              </w:rPr>
              <w:t>–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53359D">
              <w:rPr>
                <w:rFonts w:asciiTheme="majorHAnsi" w:hAnsiTheme="majorHAnsi" w:cstheme="majorHAnsi"/>
              </w:rPr>
              <w:t>czarny</w:t>
            </w:r>
          </w:p>
          <w:p w14:paraId="245392F6" w14:textId="448B5596" w:rsidR="0053359D" w:rsidRPr="00550C06" w:rsidRDefault="0053359D" w:rsidP="0053359D">
            <w:pPr>
              <w:spacing w:after="0"/>
              <w:ind w:left="360"/>
              <w:rPr>
                <w:rFonts w:asciiTheme="majorHAnsi" w:hAnsiTheme="majorHAnsi" w:cstheme="majorHAnsi"/>
                <w:b/>
                <w:bCs/>
              </w:rPr>
            </w:pPr>
            <w:r w:rsidRPr="00550C06">
              <w:rPr>
                <w:rFonts w:asciiTheme="majorHAnsi" w:hAnsiTheme="majorHAnsi" w:cstheme="majorHAnsi"/>
                <w:b/>
                <w:bCs/>
              </w:rPr>
              <w:t xml:space="preserve">1 szt. 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– </w:t>
            </w:r>
            <w:r w:rsidRPr="00550C06">
              <w:rPr>
                <w:rFonts w:asciiTheme="majorHAnsi" w:hAnsiTheme="majorHAnsi" w:cstheme="majorHAnsi"/>
                <w:b/>
                <w:bCs/>
              </w:rPr>
              <w:t>odpowiednik: RAL 2002</w:t>
            </w:r>
            <w:r w:rsidRPr="00550C06">
              <w:rPr>
                <w:rFonts w:asciiTheme="majorHAnsi" w:hAnsiTheme="majorHAnsi" w:cstheme="majorHAnsi"/>
              </w:rPr>
              <w:t xml:space="preserve"> – czerwony (czerwono-pomarańczowy).</w:t>
            </w:r>
          </w:p>
          <w:p w14:paraId="3539A7F5" w14:textId="1E67325C" w:rsidR="0053359D" w:rsidRPr="00550C06" w:rsidRDefault="0053359D" w:rsidP="0053359D">
            <w:pPr>
              <w:spacing w:after="0"/>
              <w:ind w:left="36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1 szt. – </w:t>
            </w:r>
            <w:r w:rsidRPr="00550C06">
              <w:rPr>
                <w:rFonts w:asciiTheme="majorHAnsi" w:hAnsiTheme="majorHAnsi" w:cstheme="majorHAnsi"/>
                <w:b/>
                <w:bCs/>
              </w:rPr>
              <w:t>odpowiednik RAL 6026</w:t>
            </w:r>
            <w:r w:rsidRPr="00550C06">
              <w:rPr>
                <w:rFonts w:asciiTheme="majorHAnsi" w:hAnsiTheme="majorHAnsi" w:cstheme="majorHAnsi"/>
              </w:rPr>
              <w:t xml:space="preserve"> – opalowa zieleń (głęboka, ciemniejsza zieleń ).</w:t>
            </w:r>
          </w:p>
          <w:p w14:paraId="7FED2B81" w14:textId="65E28034" w:rsidR="0053359D" w:rsidRPr="00550C06" w:rsidRDefault="0053359D" w:rsidP="0053359D">
            <w:pPr>
              <w:spacing w:after="0"/>
              <w:ind w:left="36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1 szt. </w:t>
            </w:r>
            <w:r w:rsidRPr="00550C06">
              <w:rPr>
                <w:rFonts w:asciiTheme="majorHAnsi" w:hAnsiTheme="majorHAnsi" w:cstheme="majorHAnsi"/>
              </w:rPr>
              <w:t xml:space="preserve">– </w:t>
            </w:r>
            <w:r w:rsidRPr="00550C06">
              <w:rPr>
                <w:rFonts w:asciiTheme="majorHAnsi" w:hAnsiTheme="majorHAnsi" w:cstheme="majorHAnsi"/>
                <w:b/>
                <w:bCs/>
              </w:rPr>
              <w:t>odpowiednik RAL 1032</w:t>
            </w:r>
            <w:r w:rsidRPr="00550C06">
              <w:rPr>
                <w:rFonts w:asciiTheme="majorHAnsi" w:hAnsiTheme="majorHAnsi" w:cstheme="majorHAnsi"/>
              </w:rPr>
              <w:t xml:space="preserve"> – żółty (intensywny</w:t>
            </w:r>
            <w:r w:rsidR="00800E68">
              <w:rPr>
                <w:rFonts w:asciiTheme="majorHAnsi" w:hAnsiTheme="majorHAnsi" w:cstheme="majorHAnsi"/>
              </w:rPr>
              <w:t>)</w:t>
            </w:r>
          </w:p>
          <w:p w14:paraId="37E084ED" w14:textId="2DA72CEE" w:rsidR="00395A5C" w:rsidRPr="0053359D" w:rsidRDefault="00395A5C" w:rsidP="00F23E87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53359D">
              <w:rPr>
                <w:rFonts w:asciiTheme="majorHAnsi" w:hAnsiTheme="majorHAnsi" w:cstheme="majorHAnsi"/>
              </w:rPr>
              <w:t>Dopuszcza się odcienie równoważne z palety producenta</w:t>
            </w:r>
            <w:r w:rsidR="004E669E" w:rsidRPr="0053359D">
              <w:rPr>
                <w:rFonts w:asciiTheme="majorHAnsi" w:hAnsiTheme="majorHAnsi" w:cstheme="majorHAnsi"/>
              </w:rPr>
              <w:t xml:space="preserve"> </w:t>
            </w:r>
            <w:r w:rsidRPr="0053359D">
              <w:rPr>
                <w:rFonts w:asciiTheme="majorHAnsi" w:hAnsiTheme="majorHAnsi" w:cstheme="majorHAnsi"/>
              </w:rPr>
              <w:t>o zbliżonej głębi i nasyceniu koloru.</w:t>
            </w:r>
          </w:p>
          <w:p w14:paraId="36DB881C" w14:textId="77777777" w:rsidR="00395A5C" w:rsidRPr="0053359D" w:rsidRDefault="00395A5C" w:rsidP="0053359D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53359D">
              <w:rPr>
                <w:rFonts w:asciiTheme="majorHAnsi" w:hAnsiTheme="majorHAnsi" w:cstheme="majorHAnsi"/>
                <w:b/>
                <w:bCs/>
              </w:rPr>
              <w:t>Materiał:</w:t>
            </w:r>
            <w:r w:rsidR="00A64188" w:rsidRPr="0053359D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D45A1B" w:rsidRPr="0053359D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  <w:p w14:paraId="6FC55324" w14:textId="79BA34C8" w:rsidR="00A64188" w:rsidRDefault="00D45A1B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395A5C">
              <w:rPr>
                <w:rFonts w:asciiTheme="majorHAnsi" w:hAnsiTheme="majorHAnsi" w:cstheme="majorHAnsi"/>
              </w:rPr>
              <w:t xml:space="preserve">preferowany </w:t>
            </w:r>
            <w:r w:rsidR="00A64188" w:rsidRPr="00395A5C">
              <w:rPr>
                <w:rFonts w:asciiTheme="majorHAnsi" w:hAnsiTheme="majorHAnsi" w:cstheme="majorHAnsi"/>
              </w:rPr>
              <w:t xml:space="preserve">aksamit / </w:t>
            </w:r>
            <w:proofErr w:type="spellStart"/>
            <w:r w:rsidR="00A64188" w:rsidRPr="00395A5C">
              <w:rPr>
                <w:rFonts w:asciiTheme="majorHAnsi" w:hAnsiTheme="majorHAnsi" w:cstheme="majorHAnsi"/>
              </w:rPr>
              <w:t>velvet</w:t>
            </w:r>
            <w:proofErr w:type="spellEnd"/>
            <w:r w:rsidR="00A64188" w:rsidRPr="00395A5C">
              <w:rPr>
                <w:rFonts w:asciiTheme="majorHAnsi" w:hAnsiTheme="majorHAnsi" w:cstheme="majorHAnsi"/>
              </w:rPr>
              <w:t xml:space="preserve"> lub materiał równoważny </w:t>
            </w:r>
            <w:r w:rsidR="00F23E87">
              <w:rPr>
                <w:rFonts w:asciiTheme="majorHAnsi" w:hAnsiTheme="majorHAnsi" w:cstheme="majorHAnsi"/>
              </w:rPr>
              <w:br/>
            </w:r>
            <w:r w:rsidR="00A64188" w:rsidRPr="00395A5C">
              <w:rPr>
                <w:rFonts w:asciiTheme="majorHAnsi" w:hAnsiTheme="majorHAnsi" w:cstheme="majorHAnsi"/>
              </w:rPr>
              <w:t xml:space="preserve">o porównywalnych walorach estetycznych </w:t>
            </w:r>
            <w:r w:rsidRPr="00395A5C">
              <w:rPr>
                <w:rFonts w:asciiTheme="majorHAnsi" w:hAnsiTheme="majorHAnsi" w:cstheme="majorHAnsi"/>
              </w:rPr>
              <w:t xml:space="preserve">i wymaganiach </w:t>
            </w:r>
            <w:r w:rsidR="00A64188" w:rsidRPr="00395A5C">
              <w:rPr>
                <w:rFonts w:asciiTheme="majorHAnsi" w:hAnsiTheme="majorHAnsi" w:cstheme="majorHAnsi"/>
              </w:rPr>
              <w:t>eksploatacyj</w:t>
            </w:r>
            <w:r w:rsidRPr="00395A5C">
              <w:rPr>
                <w:rFonts w:asciiTheme="majorHAnsi" w:hAnsiTheme="majorHAnsi" w:cstheme="majorHAnsi"/>
              </w:rPr>
              <w:t>nych</w:t>
            </w:r>
            <w:r w:rsidR="00A64188" w:rsidRPr="00395A5C">
              <w:rPr>
                <w:rFonts w:asciiTheme="majorHAnsi" w:hAnsiTheme="majorHAnsi" w:cstheme="majorHAnsi"/>
              </w:rPr>
              <w:t>:</w:t>
            </w:r>
          </w:p>
          <w:p w14:paraId="25F9A41B" w14:textId="233F0399" w:rsidR="00DF568C" w:rsidRPr="00D45A1B" w:rsidRDefault="00DF568C">
            <w:pPr>
              <w:pStyle w:val="Akapitzlist"/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d</w:t>
            </w:r>
            <w:r w:rsidRPr="00DF568C">
              <w:rPr>
                <w:rFonts w:asciiTheme="majorHAnsi" w:hAnsiTheme="majorHAnsi" w:cstheme="majorHAnsi"/>
              </w:rPr>
              <w:t>opuszcza się inne tkaniny/siatki spełniające minimalne parametry trwałości i higieny; ‘preferowane’ nie stanowi warunku udziału ani kryterium oceny.</w:t>
            </w:r>
          </w:p>
          <w:p w14:paraId="00137AD4" w14:textId="77777777" w:rsidR="00A64188" w:rsidRPr="00A64188" w:rsidRDefault="00A64188">
            <w:pPr>
              <w:pStyle w:val="Akapitzlist"/>
              <w:numPr>
                <w:ilvl w:val="0"/>
                <w:numId w:val="11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materiał odporny na typowe zabrudzenia użytkowe w gabinecie,</w:t>
            </w:r>
          </w:p>
          <w:p w14:paraId="065BB61D" w14:textId="77777777" w:rsidR="00A64188" w:rsidRPr="00A64188" w:rsidRDefault="00A64188">
            <w:pPr>
              <w:pStyle w:val="Akapitzlist"/>
              <w:numPr>
                <w:ilvl w:val="0"/>
                <w:numId w:val="1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możliwość czyszczenia przy użyciu środków do pielęgnacji tapicerki oraz typowych środków czystości dopuszczonych przez producenta,</w:t>
            </w:r>
          </w:p>
          <w:p w14:paraId="0C16CC0E" w14:textId="4228B0C7" w:rsidR="00C104B0" w:rsidRPr="006D485F" w:rsidRDefault="00A64188">
            <w:pPr>
              <w:pStyle w:val="Akapitzlist"/>
              <w:numPr>
                <w:ilvl w:val="0"/>
                <w:numId w:val="1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>preferowane wykończenie „</w:t>
            </w:r>
            <w:proofErr w:type="spellStart"/>
            <w:r w:rsidRPr="00A64188">
              <w:rPr>
                <w:rFonts w:asciiTheme="majorHAnsi" w:hAnsiTheme="majorHAnsi" w:cstheme="majorHAnsi"/>
              </w:rPr>
              <w:t>easy</w:t>
            </w:r>
            <w:proofErr w:type="spellEnd"/>
            <w:r w:rsidRPr="00A64188">
              <w:rPr>
                <w:rFonts w:asciiTheme="majorHAnsi" w:hAnsiTheme="majorHAnsi" w:cstheme="majorHAnsi"/>
              </w:rPr>
              <w:t xml:space="preserve"> </w:t>
            </w:r>
            <w:proofErr w:type="spellStart"/>
            <w:r w:rsidRPr="00A64188">
              <w:rPr>
                <w:rFonts w:asciiTheme="majorHAnsi" w:hAnsiTheme="majorHAnsi" w:cstheme="majorHAnsi"/>
              </w:rPr>
              <w:t>clean</w:t>
            </w:r>
            <w:proofErr w:type="spellEnd"/>
            <w:r w:rsidRPr="00A64188">
              <w:rPr>
                <w:rFonts w:asciiTheme="majorHAnsi" w:hAnsiTheme="majorHAnsi" w:cstheme="majorHAnsi"/>
              </w:rPr>
              <w:t>”/</w:t>
            </w:r>
            <w:r w:rsidR="00C104B0">
              <w:rPr>
                <w:rFonts w:asciiTheme="majorHAnsi" w:hAnsiTheme="majorHAnsi" w:cstheme="majorHAnsi"/>
              </w:rPr>
              <w:t xml:space="preserve"> </w:t>
            </w:r>
            <w:r w:rsidRPr="00A64188">
              <w:rPr>
                <w:rFonts w:asciiTheme="majorHAnsi" w:hAnsiTheme="majorHAnsi" w:cstheme="majorHAnsi"/>
              </w:rPr>
              <w:t>hydrofobowe lub równoważne (jeżeli dostępne u producenta) – dopuszcza się zaoferowanie bez tej cechy, o ile producent wskazuje skuteczne i bezpieczne metody czyszczenia oraz materiał spełnia minimalne parametry trwałości.</w:t>
            </w:r>
          </w:p>
          <w:p w14:paraId="744E1249" w14:textId="24E35DDB" w:rsidR="006D485F" w:rsidRPr="0053359D" w:rsidRDefault="00A64188">
            <w:pPr>
              <w:pStyle w:val="Akapitzlist"/>
              <w:numPr>
                <w:ilvl w:val="0"/>
                <w:numId w:val="9"/>
              </w:numPr>
              <w:tabs>
                <w:tab w:val="clear" w:pos="720"/>
                <w:tab w:val="left" w:pos="378"/>
              </w:tabs>
              <w:spacing w:after="0"/>
              <w:ind w:left="378" w:hanging="378"/>
              <w:rPr>
                <w:rFonts w:asciiTheme="majorHAnsi" w:hAnsiTheme="majorHAnsi" w:cstheme="majorHAnsi"/>
                <w:b/>
                <w:bCs/>
              </w:rPr>
            </w:pPr>
            <w:r w:rsidRPr="0053359D">
              <w:rPr>
                <w:rFonts w:asciiTheme="majorHAnsi" w:hAnsiTheme="majorHAnsi" w:cstheme="majorHAnsi"/>
                <w:b/>
                <w:bCs/>
              </w:rPr>
              <w:t>Normy i zgodność (lub równoważne)</w:t>
            </w:r>
          </w:p>
          <w:p w14:paraId="5520FDE7" w14:textId="77777777" w:rsidR="00A64188" w:rsidRPr="00A64188" w:rsidRDefault="00A64188">
            <w:pPr>
              <w:pStyle w:val="Akapitzlist"/>
              <w:numPr>
                <w:ilvl w:val="0"/>
                <w:numId w:val="12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Fotel powinien spełniać wymagania w zakresie bezpieczeństwa, wytrzymałości i trwałości dla siedzisk wg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PN-EN 16139</w:t>
            </w:r>
            <w:r w:rsidRPr="00A64188">
              <w:rPr>
                <w:rFonts w:asciiTheme="majorHAnsi" w:hAnsiTheme="majorHAnsi" w:cstheme="majorHAnsi"/>
              </w:rPr>
              <w:t xml:space="preserve"> lub norm równoważnych.</w:t>
            </w:r>
          </w:p>
          <w:p w14:paraId="0D3DD857" w14:textId="03C47DB5" w:rsidR="00040A2B" w:rsidRPr="008870BD" w:rsidRDefault="00A64188">
            <w:pPr>
              <w:pStyle w:val="Akapitzlist"/>
              <w:numPr>
                <w:ilvl w:val="0"/>
                <w:numId w:val="12"/>
              </w:numPr>
              <w:spacing w:after="0"/>
              <w:rPr>
                <w:rFonts w:asciiTheme="majorHAnsi" w:hAnsiTheme="majorHAnsi" w:cstheme="majorHAnsi"/>
              </w:rPr>
            </w:pPr>
            <w:r w:rsidRPr="00A64188">
              <w:rPr>
                <w:rFonts w:asciiTheme="majorHAnsi" w:hAnsiTheme="majorHAnsi" w:cstheme="majorHAnsi"/>
              </w:rPr>
              <w:t xml:space="preserve">(Jeżeli producent deklaruje) odporność na zapłon wg </w:t>
            </w:r>
            <w:r w:rsidRPr="00A64188">
              <w:rPr>
                <w:rFonts w:asciiTheme="majorHAnsi" w:hAnsiTheme="majorHAnsi" w:cstheme="majorHAnsi"/>
                <w:b/>
                <w:bCs/>
              </w:rPr>
              <w:t>PN-EN 1021-1 i 1021-2</w:t>
            </w:r>
            <w:r w:rsidRPr="00A64188">
              <w:rPr>
                <w:rFonts w:asciiTheme="majorHAnsi" w:hAnsiTheme="majorHAnsi" w:cstheme="majorHAnsi"/>
              </w:rPr>
              <w:t xml:space="preserve"> lub norm równoważnych – rekomendowane dla obiektów użyteczności publicznej.</w:t>
            </w:r>
            <w:r w:rsidR="008C3408" w:rsidRPr="007F6214">
              <w:rPr>
                <w:rFonts w:asciiTheme="majorHAnsi" w:hAnsiTheme="majorHAnsi" w:cstheme="majorHAnsi"/>
              </w:rPr>
              <w:t xml:space="preserve"> </w:t>
            </w:r>
          </w:p>
        </w:tc>
        <w:tc>
          <w:tcPr>
            <w:tcW w:w="4961" w:type="dxa"/>
          </w:tcPr>
          <w:p w14:paraId="18A12B6B" w14:textId="60BAB25F" w:rsidR="008F3C43" w:rsidRPr="00296E50" w:rsidRDefault="008F3C43" w:rsidP="00F23E87">
            <w:pPr>
              <w:spacing w:after="0"/>
              <w:jc w:val="center"/>
              <w:rPr>
                <w:rFonts w:asciiTheme="majorHAnsi" w:hAnsiTheme="majorHAnsi" w:cstheme="majorHAnsi"/>
                <w:color w:val="0462C1"/>
              </w:rPr>
            </w:pPr>
          </w:p>
          <w:p w14:paraId="7A0B68FB" w14:textId="32667486" w:rsidR="008F3C43" w:rsidRPr="00296E50" w:rsidRDefault="008F3C43" w:rsidP="00F23E87">
            <w:pPr>
              <w:spacing w:after="0"/>
              <w:ind w:left="720"/>
              <w:jc w:val="center"/>
              <w:rPr>
                <w:rFonts w:asciiTheme="majorHAnsi" w:hAnsiTheme="majorHAnsi" w:cstheme="majorHAnsi"/>
              </w:rPr>
            </w:pPr>
          </w:p>
          <w:p w14:paraId="5107A018" w14:textId="7CD7CD1E" w:rsidR="005D3D1F" w:rsidRPr="005D3D1F" w:rsidRDefault="005D3D1F" w:rsidP="00F23E87">
            <w:pPr>
              <w:tabs>
                <w:tab w:val="left" w:pos="3660"/>
              </w:tabs>
              <w:jc w:val="center"/>
              <w:rPr>
                <w:rFonts w:asciiTheme="majorHAnsi" w:hAnsiTheme="majorHAnsi" w:cstheme="majorHAnsi"/>
                <w:noProof/>
              </w:rPr>
            </w:pPr>
            <w:r w:rsidRPr="005D3D1F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4B13C8B5" wp14:editId="3F58B93F">
                  <wp:extent cx="2120900" cy="2254250"/>
                  <wp:effectExtent l="0" t="0" r="0" b="0"/>
                  <wp:docPr id="167613251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900" cy="225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216C5B" w14:textId="2356FE13" w:rsidR="00203D32" w:rsidRPr="00296E50" w:rsidRDefault="00203D32" w:rsidP="00F23E87">
            <w:pPr>
              <w:tabs>
                <w:tab w:val="left" w:pos="3660"/>
              </w:tabs>
              <w:ind w:left="720"/>
              <w:jc w:val="center"/>
              <w:rPr>
                <w:rFonts w:asciiTheme="majorHAnsi" w:hAnsiTheme="majorHAnsi" w:cstheme="majorHAnsi"/>
                <w:noProof/>
              </w:rPr>
            </w:pPr>
          </w:p>
          <w:p w14:paraId="22C75F78" w14:textId="7E865A86" w:rsidR="002043CF" w:rsidRPr="00296E50" w:rsidRDefault="002043CF" w:rsidP="00F23E87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zamówienia..</w:t>
            </w:r>
          </w:p>
        </w:tc>
      </w:tr>
    </w:tbl>
    <w:p w14:paraId="35C576E3" w14:textId="683CE9BB" w:rsidR="00F23B3E" w:rsidRPr="00296E50" w:rsidRDefault="00F23B3E" w:rsidP="00D65ADF">
      <w:pPr>
        <w:pStyle w:val="Nagwek2"/>
        <w:spacing w:before="0"/>
        <w:rPr>
          <w:rFonts w:cstheme="majorHAnsi"/>
          <w:color w:val="auto"/>
        </w:rPr>
      </w:pPr>
    </w:p>
    <w:tbl>
      <w:tblPr>
        <w:tblW w:w="1343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708"/>
        <w:gridCol w:w="6946"/>
        <w:gridCol w:w="4366"/>
      </w:tblGrid>
      <w:tr w:rsidR="00911335" w:rsidRPr="00296E50" w14:paraId="673B62E1" w14:textId="77777777" w:rsidTr="00D65ADF">
        <w:trPr>
          <w:trHeight w:val="1096"/>
        </w:trPr>
        <w:tc>
          <w:tcPr>
            <w:tcW w:w="1418" w:type="dxa"/>
          </w:tcPr>
          <w:p w14:paraId="064DE313" w14:textId="77777777" w:rsidR="00E342FA" w:rsidRDefault="00000000" w:rsidP="00C2393A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Krzesło</w:t>
            </w:r>
            <w:r w:rsidR="00E342FA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  <w:p w14:paraId="5F8C2EAF" w14:textId="0FBD4C9C" w:rsidR="00F23B3E" w:rsidRPr="00E342FA" w:rsidRDefault="00E342FA" w:rsidP="00C2393A">
            <w:pPr>
              <w:spacing w:after="0"/>
              <w:rPr>
                <w:rFonts w:asciiTheme="majorHAnsi" w:hAnsiTheme="majorHAnsi" w:cstheme="majorHAnsi"/>
              </w:rPr>
            </w:pPr>
            <w:r w:rsidRPr="00E342FA">
              <w:rPr>
                <w:rFonts w:asciiTheme="majorHAnsi" w:hAnsiTheme="majorHAnsi" w:cstheme="majorHAnsi"/>
              </w:rPr>
              <w:t>typu club</w:t>
            </w:r>
          </w:p>
        </w:tc>
        <w:tc>
          <w:tcPr>
            <w:tcW w:w="708" w:type="dxa"/>
          </w:tcPr>
          <w:p w14:paraId="1FE7EA29" w14:textId="77777777" w:rsidR="00F23B3E" w:rsidRPr="00D65ADF" w:rsidRDefault="00000000" w:rsidP="00D65ADF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D65ADF">
              <w:rPr>
                <w:rFonts w:asciiTheme="majorHAnsi" w:hAnsiTheme="majorHAnsi" w:cstheme="majorHAnsi"/>
                <w:b/>
                <w:bCs/>
              </w:rPr>
              <w:t>3</w:t>
            </w:r>
          </w:p>
        </w:tc>
        <w:tc>
          <w:tcPr>
            <w:tcW w:w="6946" w:type="dxa"/>
          </w:tcPr>
          <w:p w14:paraId="6F573909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003400EA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Dostawa, wniesienie do wskazanego pomieszczenia, ustawienie oraz ewentualny montaż (jeżeli dotyczy) </w:t>
            </w:r>
            <w:r w:rsidRPr="00E2709C">
              <w:rPr>
                <w:rFonts w:asciiTheme="majorHAnsi" w:hAnsiTheme="majorHAnsi" w:cstheme="majorHAnsi"/>
                <w:b/>
                <w:bCs/>
              </w:rPr>
              <w:t>fotela klubowego</w:t>
            </w:r>
            <w:r w:rsidRPr="00E2709C">
              <w:rPr>
                <w:rFonts w:asciiTheme="majorHAnsi" w:hAnsiTheme="majorHAnsi" w:cstheme="majorHAnsi"/>
              </w:rPr>
              <w:t xml:space="preserve"> przeznaczonego do użytkowania w obiektach użyteczności publicznej (gabinet specjalisty, poczekalnia, strefa rozmów).</w:t>
            </w:r>
          </w:p>
          <w:p w14:paraId="1EE7206A" w14:textId="45218B55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Dopuszcza się rozwiązania </w:t>
            </w:r>
            <w:r w:rsidRPr="00E2709C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E2709C">
              <w:rPr>
                <w:rFonts w:asciiTheme="majorHAnsi" w:hAnsiTheme="majorHAnsi" w:cstheme="majorHAnsi"/>
              </w:rPr>
              <w:t>, tj. spełniające co najmniej wymagania minimalne wskazane poniżej (funkcjonalność, wymiary, trwałość, bezpieczeństwo).</w:t>
            </w:r>
          </w:p>
          <w:p w14:paraId="23D3396F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2. Wymiary (zakresy – wymagania minimalne)</w:t>
            </w:r>
          </w:p>
          <w:p w14:paraId="794F1044" w14:textId="03C858C9" w:rsidR="00E2709C" w:rsidRPr="00E2709C" w:rsidRDefault="00E2709C">
            <w:pPr>
              <w:numPr>
                <w:ilvl w:val="0"/>
                <w:numId w:val="13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szerokość całkowita: 60–66 cm</w:t>
            </w:r>
          </w:p>
          <w:p w14:paraId="693002B4" w14:textId="4A65E22A" w:rsidR="00E2709C" w:rsidRPr="00E2709C" w:rsidRDefault="00E2709C">
            <w:pPr>
              <w:numPr>
                <w:ilvl w:val="0"/>
                <w:numId w:val="13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głębokość całkowita: 60–66 cm</w:t>
            </w:r>
          </w:p>
          <w:p w14:paraId="71E492EC" w14:textId="7F92DC9F" w:rsidR="00E2709C" w:rsidRPr="00E2709C" w:rsidRDefault="00E2709C">
            <w:pPr>
              <w:numPr>
                <w:ilvl w:val="0"/>
                <w:numId w:val="13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wysokość całkowita: 74–80 cm </w:t>
            </w:r>
          </w:p>
          <w:p w14:paraId="68E55846" w14:textId="2A40313D" w:rsidR="00E2709C" w:rsidRPr="00E2709C" w:rsidRDefault="00E2709C">
            <w:pPr>
              <w:numPr>
                <w:ilvl w:val="0"/>
                <w:numId w:val="13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wysokość siedziska: 44–48 cm </w:t>
            </w:r>
          </w:p>
          <w:p w14:paraId="41786F0A" w14:textId="5074E8AB" w:rsidR="00E2709C" w:rsidRPr="00E2709C" w:rsidRDefault="00E2709C">
            <w:pPr>
              <w:numPr>
                <w:ilvl w:val="0"/>
                <w:numId w:val="13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szerokość siedziska: 56–62 cm </w:t>
            </w:r>
          </w:p>
          <w:p w14:paraId="31EB1CB1" w14:textId="7FE682ED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Dopuszcza się wymiary mieszczące się w zakresach przy zachowaniu stabilności i ergonomii.</w:t>
            </w:r>
          </w:p>
          <w:p w14:paraId="23B885EC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3. Konstrukcja i komfort</w:t>
            </w:r>
          </w:p>
          <w:p w14:paraId="78F67D7B" w14:textId="77777777" w:rsidR="00E2709C" w:rsidRPr="00E2709C" w:rsidRDefault="00E2709C">
            <w:pPr>
              <w:numPr>
                <w:ilvl w:val="0"/>
                <w:numId w:val="14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Konstrukcja nośna trwała, przeznaczona do intensywnego użytkowania: drewno/sklejka/metal/kompozyt – </w:t>
            </w:r>
            <w:r w:rsidRPr="00E2709C">
              <w:rPr>
                <w:rFonts w:asciiTheme="majorHAnsi" w:hAnsiTheme="majorHAnsi" w:cstheme="majorHAnsi"/>
                <w:b/>
                <w:bCs/>
              </w:rPr>
              <w:t>lub równoważne</w:t>
            </w:r>
            <w:r w:rsidRPr="00E2709C">
              <w:rPr>
                <w:rFonts w:asciiTheme="majorHAnsi" w:hAnsiTheme="majorHAnsi" w:cstheme="majorHAnsi"/>
              </w:rPr>
              <w:t>.</w:t>
            </w:r>
          </w:p>
          <w:p w14:paraId="2338D437" w14:textId="77777777" w:rsidR="00E2709C" w:rsidRPr="00E2709C" w:rsidRDefault="00E2709C">
            <w:pPr>
              <w:numPr>
                <w:ilvl w:val="0"/>
                <w:numId w:val="14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Wypełnienie: pianka tapicerska lub materiał równoważny, zapewniający sprężystość i brak trwałych odkształceń w standardowej eksploatacji.</w:t>
            </w:r>
          </w:p>
          <w:p w14:paraId="5632179F" w14:textId="77777777" w:rsidR="00E2709C" w:rsidRPr="00E2709C" w:rsidRDefault="00E2709C">
            <w:pPr>
              <w:numPr>
                <w:ilvl w:val="0"/>
                <w:numId w:val="14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Fotel stabilny, bez chybotania; połączenia trwałe, bez luzów.</w:t>
            </w:r>
          </w:p>
          <w:p w14:paraId="3DFD44E1" w14:textId="29CCD871" w:rsidR="00E2709C" w:rsidRPr="00E2709C" w:rsidRDefault="00E2709C">
            <w:pPr>
              <w:numPr>
                <w:ilvl w:val="0"/>
                <w:numId w:val="14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Brak ostrych krawędzi; elementy wykończone w sposób bezpieczny.</w:t>
            </w:r>
          </w:p>
          <w:p w14:paraId="38484B59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lastRenderedPageBreak/>
              <w:t>4. Tapicerka i utrzymanie higieny</w:t>
            </w:r>
          </w:p>
          <w:p w14:paraId="0CAB55F6" w14:textId="5544DD18" w:rsidR="00040A2B" w:rsidRPr="00473557" w:rsidRDefault="00E2709C">
            <w:pPr>
              <w:numPr>
                <w:ilvl w:val="0"/>
                <w:numId w:val="15"/>
              </w:numPr>
              <w:spacing w:after="0"/>
              <w:rPr>
                <w:rFonts w:asciiTheme="majorHAnsi" w:hAnsiTheme="majorHAnsi" w:cstheme="majorHAnsi"/>
              </w:rPr>
            </w:pPr>
            <w:r w:rsidRPr="006B2E76">
              <w:rPr>
                <w:rFonts w:asciiTheme="majorHAnsi" w:hAnsiTheme="majorHAnsi" w:cstheme="majorHAnsi"/>
              </w:rPr>
              <w:t xml:space="preserve">Tapicerka: </w:t>
            </w:r>
            <w:r w:rsidR="006B2E76" w:rsidRPr="006B2E76">
              <w:rPr>
                <w:rFonts w:asciiTheme="majorHAnsi" w:hAnsiTheme="majorHAnsi" w:cstheme="majorHAnsi"/>
              </w:rPr>
              <w:t>wykonana z wysokiej jakości tkaniny tapicerskiej przeznaczonej do intensywnego użytkowania w przestrzeniach publicznych. Materiał oddychający, komfortowy w użytkowaniu, łatwy do czyszczenia.</w:t>
            </w:r>
            <w:r w:rsidR="006B2E76" w:rsidRPr="006B2E76">
              <w:rPr>
                <w:rFonts w:asciiTheme="majorHAnsi" w:hAnsiTheme="majorHAnsi" w:cstheme="majorHAnsi"/>
              </w:rPr>
              <w:br/>
              <w:t>Nie dopuszcza się tapicerek powlekanych (np. PCW, PU</w:t>
            </w:r>
            <w:r w:rsidR="006B2E76" w:rsidRPr="006B2E76">
              <w:rPr>
                <w:rFonts w:asciiTheme="majorHAnsi" w:hAnsiTheme="majorHAnsi" w:cstheme="majorHAnsi"/>
                <w:b/>
                <w:bCs/>
              </w:rPr>
              <w:t>).</w:t>
            </w:r>
          </w:p>
          <w:p w14:paraId="54B9CB7E" w14:textId="77777777" w:rsidR="00A5451A" w:rsidRDefault="00302BE8">
            <w:pPr>
              <w:numPr>
                <w:ilvl w:val="0"/>
                <w:numId w:val="1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697994">
              <w:rPr>
                <w:rFonts w:asciiTheme="majorHAnsi" w:hAnsiTheme="majorHAnsi" w:cstheme="majorHAnsi"/>
              </w:rPr>
              <w:t xml:space="preserve">Kolor: </w:t>
            </w:r>
            <w:r w:rsidRPr="00697994">
              <w:rPr>
                <w:rFonts w:asciiTheme="majorHAnsi" w:hAnsiTheme="majorHAnsi" w:cstheme="majorHAnsi"/>
                <w:b/>
                <w:bCs/>
              </w:rPr>
              <w:t>beżowy</w:t>
            </w:r>
            <w:r w:rsidRPr="00697994">
              <w:rPr>
                <w:rFonts w:asciiTheme="majorHAnsi" w:hAnsiTheme="majorHAnsi" w:cstheme="majorHAnsi"/>
              </w:rPr>
              <w:t xml:space="preserve"> </w:t>
            </w:r>
          </w:p>
          <w:p w14:paraId="5B0A09BC" w14:textId="3EC633B0" w:rsidR="00F61AD3" w:rsidRDefault="00A5451A" w:rsidP="00A5451A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A5451A">
              <w:rPr>
                <w:rFonts w:asciiTheme="majorHAnsi" w:hAnsiTheme="majorHAnsi" w:cstheme="majorHAnsi"/>
              </w:rPr>
              <w:t>Zamawiający określa kolor bazowy jako jasny beż (o charakterze piaskowym lub kości słoniowej), odpowiednik referencyjny: RAL 1015 lub NCS S 1005-Y20R. Dopuszcza się odcienie beżu z palety producenta, o zbliżonej jasności i neutralnym charakterze koloru.</w:t>
            </w:r>
          </w:p>
          <w:p w14:paraId="2CE2571B" w14:textId="14EE2536" w:rsidR="00E2709C" w:rsidRPr="00F61AD3" w:rsidRDefault="00E2709C">
            <w:pPr>
              <w:pStyle w:val="Akapitzlist"/>
              <w:numPr>
                <w:ilvl w:val="0"/>
                <w:numId w:val="15"/>
              </w:numPr>
              <w:spacing w:after="0"/>
              <w:rPr>
                <w:rFonts w:asciiTheme="majorHAnsi" w:hAnsiTheme="majorHAnsi" w:cstheme="majorHAnsi"/>
              </w:rPr>
            </w:pPr>
            <w:r w:rsidRPr="00F61AD3">
              <w:rPr>
                <w:rFonts w:asciiTheme="majorHAnsi" w:hAnsiTheme="majorHAnsi" w:cstheme="majorHAnsi"/>
              </w:rPr>
              <w:t>Wymagania eksploatacyjne:</w:t>
            </w:r>
          </w:p>
          <w:p w14:paraId="02346FF1" w14:textId="77777777" w:rsidR="00E2709C" w:rsidRPr="00E2709C" w:rsidRDefault="00E2709C">
            <w:pPr>
              <w:numPr>
                <w:ilvl w:val="0"/>
                <w:numId w:val="1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materiał łatwoczyszczący, odporny na typowe zabrudzenia użytkowe,</w:t>
            </w:r>
          </w:p>
          <w:p w14:paraId="30B72ED1" w14:textId="77777777" w:rsidR="00E2709C" w:rsidRPr="00E2709C" w:rsidRDefault="00E2709C">
            <w:pPr>
              <w:numPr>
                <w:ilvl w:val="0"/>
                <w:numId w:val="1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 xml:space="preserve">możliwość czyszczenia standardowymi środkami stosowanymi w placówkach publicznych, w tym środkami do dezynfekcji – </w:t>
            </w:r>
            <w:r w:rsidRPr="0032011E">
              <w:rPr>
                <w:rFonts w:asciiTheme="majorHAnsi" w:hAnsiTheme="majorHAnsi" w:cstheme="majorHAnsi"/>
              </w:rPr>
              <w:t>zgodnie z zaleceniami producenta,</w:t>
            </w:r>
          </w:p>
          <w:p w14:paraId="6605342D" w14:textId="3C7AB667" w:rsidR="00221675" w:rsidRPr="005D4C36" w:rsidRDefault="00E2709C">
            <w:pPr>
              <w:numPr>
                <w:ilvl w:val="0"/>
                <w:numId w:val="16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brak pękania i łuszczenia w warunkach standardowego użytkowania i konserwacji.</w:t>
            </w:r>
          </w:p>
          <w:p w14:paraId="420AFD3B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5. Normy i zgodność (lub równoważne)</w:t>
            </w:r>
          </w:p>
          <w:p w14:paraId="3AA1AAFB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Fotel powinien spełniać wymagania w zakresie bezpieczeństwa, wytrzymałości i trwałości dla siedzisk do użytku nie-domowego zgodnie z:</w:t>
            </w:r>
          </w:p>
          <w:p w14:paraId="67294443" w14:textId="77777777" w:rsidR="00E2709C" w:rsidRPr="00E2709C" w:rsidRDefault="00E2709C">
            <w:pPr>
              <w:numPr>
                <w:ilvl w:val="0"/>
                <w:numId w:val="17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PN-EN 16139</w:t>
            </w:r>
            <w:r w:rsidRPr="00E2709C">
              <w:rPr>
                <w:rFonts w:asciiTheme="majorHAnsi" w:hAnsiTheme="majorHAnsi" w:cstheme="majorHAnsi"/>
              </w:rPr>
              <w:t xml:space="preserve"> lub normą równoważną.</w:t>
            </w:r>
          </w:p>
          <w:p w14:paraId="352C9974" w14:textId="77777777" w:rsidR="00E2709C" w:rsidRPr="00E2709C" w:rsidRDefault="00E2709C" w:rsidP="00E2709C">
            <w:p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</w:rPr>
              <w:t>Jeżeli producent deklaruje odporność na zapłon (zalecane w obiektach publicznych):</w:t>
            </w:r>
          </w:p>
          <w:p w14:paraId="7765C832" w14:textId="1A99395E" w:rsidR="00087D95" w:rsidRPr="002E0157" w:rsidRDefault="00E2709C">
            <w:pPr>
              <w:numPr>
                <w:ilvl w:val="0"/>
                <w:numId w:val="18"/>
              </w:numPr>
              <w:spacing w:after="0"/>
              <w:rPr>
                <w:rFonts w:asciiTheme="majorHAnsi" w:hAnsiTheme="majorHAnsi" w:cstheme="majorHAnsi"/>
              </w:rPr>
            </w:pPr>
            <w:r w:rsidRPr="00E2709C">
              <w:rPr>
                <w:rFonts w:asciiTheme="majorHAnsi" w:hAnsiTheme="majorHAnsi" w:cstheme="majorHAnsi"/>
                <w:b/>
                <w:bCs/>
              </w:rPr>
              <w:t>PN-EN 1021-1 i PN-EN 1021-2</w:t>
            </w:r>
            <w:r w:rsidRPr="00E2709C">
              <w:rPr>
                <w:rFonts w:asciiTheme="majorHAnsi" w:hAnsiTheme="majorHAnsi" w:cstheme="majorHAnsi"/>
              </w:rPr>
              <w:t xml:space="preserve"> lub równoważne.</w:t>
            </w:r>
          </w:p>
        </w:tc>
        <w:tc>
          <w:tcPr>
            <w:tcW w:w="4366" w:type="dxa"/>
          </w:tcPr>
          <w:p w14:paraId="637B0C98" w14:textId="3D5CB764" w:rsidR="00B74DD0" w:rsidRPr="00296E50" w:rsidRDefault="00B74DD0" w:rsidP="00C2393A">
            <w:pPr>
              <w:spacing w:after="0"/>
              <w:rPr>
                <w:rFonts w:asciiTheme="majorHAnsi" w:hAnsiTheme="majorHAnsi" w:cstheme="majorHAnsi"/>
                <w:color w:val="0462C1"/>
                <w:sz w:val="20"/>
                <w:szCs w:val="20"/>
              </w:rPr>
            </w:pPr>
          </w:p>
          <w:tbl>
            <w:tblPr>
              <w:tblStyle w:val="Tabela-Siatka"/>
              <w:tblW w:w="3590" w:type="dxa"/>
              <w:tblInd w:w="167" w:type="dxa"/>
              <w:tblLayout w:type="fixed"/>
              <w:tblLook w:val="04A0" w:firstRow="1" w:lastRow="0" w:firstColumn="1" w:lastColumn="0" w:noHBand="0" w:noVBand="1"/>
            </w:tblPr>
            <w:tblGrid>
              <w:gridCol w:w="3590"/>
            </w:tblGrid>
            <w:tr w:rsidR="002669A1" w:rsidRPr="00296E50" w14:paraId="2D3022A4" w14:textId="77777777" w:rsidTr="001E4ACA">
              <w:trPr>
                <w:trHeight w:val="2471"/>
              </w:trPr>
              <w:tc>
                <w:tcPr>
                  <w:tcW w:w="3590" w:type="dxa"/>
                  <w:vAlign w:val="center"/>
                </w:tcPr>
                <w:p w14:paraId="029F1D35" w14:textId="77777777" w:rsidR="002669A1" w:rsidRPr="00296E50" w:rsidRDefault="002669A1" w:rsidP="001E4ACA">
                  <w:pPr>
                    <w:rPr>
                      <w:rFonts w:asciiTheme="majorHAnsi" w:hAnsiTheme="majorHAnsi" w:cstheme="majorHAnsi"/>
                      <w:sz w:val="20"/>
                      <w:szCs w:val="20"/>
                    </w:rPr>
                  </w:pPr>
                  <w:r w:rsidRPr="00296E50">
                    <w:rPr>
                      <w:rFonts w:asciiTheme="majorHAnsi" w:hAnsiTheme="majorHAnsi" w:cstheme="majorHAnsi"/>
                      <w:noProof/>
                      <w:sz w:val="20"/>
                      <w:szCs w:val="20"/>
                    </w:rPr>
                    <w:drawing>
                      <wp:inline distT="0" distB="0" distL="0" distR="0" wp14:anchorId="0D66DBBC" wp14:editId="7151EEA5">
                        <wp:extent cx="2407920" cy="2103120"/>
                        <wp:effectExtent l="0" t="0" r="0" b="0"/>
                        <wp:docPr id="1132430768" name="Obraz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6584" cy="21106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0DD42AB" w14:textId="77777777" w:rsidR="008C72DA" w:rsidRPr="00296E50" w:rsidRDefault="008C72DA" w:rsidP="00C2393A">
            <w:pPr>
              <w:spacing w:after="0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AADC3C0" w14:textId="707BBA80" w:rsidR="008C72DA" w:rsidRPr="00296E50" w:rsidRDefault="008C72DA" w:rsidP="00221675">
            <w:pPr>
              <w:tabs>
                <w:tab w:val="left" w:pos="2172"/>
              </w:tabs>
              <w:spacing w:after="0" w:line="240" w:lineRule="auto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296E50">
              <w:rPr>
                <w:rFonts w:asciiTheme="majorHAnsi" w:hAnsiTheme="majorHAnsi" w:cstheme="majorHAnsi"/>
              </w:rPr>
              <w:t>*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Rysunek ma charakter poglądowy i nie stanowi wskazania producenta. Wymiary wymagane określone są wyłącznie w opisie przedmiotu zamówienia.</w:t>
            </w:r>
          </w:p>
        </w:tc>
      </w:tr>
    </w:tbl>
    <w:p w14:paraId="1CDCB1C0" w14:textId="77777777" w:rsidR="006F3946" w:rsidRPr="006F3946" w:rsidRDefault="006F3946" w:rsidP="006F3946"/>
    <w:tbl>
      <w:tblPr>
        <w:tblW w:w="136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709"/>
        <w:gridCol w:w="6349"/>
        <w:gridCol w:w="4849"/>
      </w:tblGrid>
      <w:tr w:rsidR="00CE7BC8" w:rsidRPr="00296E50" w14:paraId="7AC8C9CF" w14:textId="77777777" w:rsidTr="00800E68">
        <w:trPr>
          <w:trHeight w:val="610"/>
        </w:trPr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74FCA3A6" w14:textId="51FADDB7" w:rsidR="00F23B3E" w:rsidRPr="00296E50" w:rsidRDefault="00B724CF" w:rsidP="007E7F05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Nazwa wyposażenia</w:t>
            </w:r>
          </w:p>
        </w:tc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1B1F170F" w14:textId="77777777" w:rsidR="00F23B3E" w:rsidRPr="00296E50" w:rsidRDefault="00000000" w:rsidP="007E7F05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Ilość</w:t>
            </w:r>
          </w:p>
        </w:tc>
        <w:tc>
          <w:tcPr>
            <w:tcW w:w="6349" w:type="dxa"/>
            <w:shd w:val="clear" w:color="auto" w:fill="F2F2F2" w:themeFill="background1" w:themeFillShade="F2"/>
            <w:vAlign w:val="center"/>
          </w:tcPr>
          <w:p w14:paraId="12C468C1" w14:textId="77777777" w:rsidR="00F23B3E" w:rsidRPr="00296E50" w:rsidRDefault="00000000" w:rsidP="007E7F05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Opis przedmiotu zamówienia</w:t>
            </w:r>
          </w:p>
        </w:tc>
        <w:tc>
          <w:tcPr>
            <w:tcW w:w="4849" w:type="dxa"/>
            <w:shd w:val="clear" w:color="auto" w:fill="F2F2F2" w:themeFill="background1" w:themeFillShade="F2"/>
            <w:vAlign w:val="center"/>
          </w:tcPr>
          <w:p w14:paraId="13F36079" w14:textId="16380F02" w:rsidR="00F23B3E" w:rsidRPr="00296E50" w:rsidRDefault="00351BC6" w:rsidP="007E7F05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Rysunek pomocniczy</w:t>
            </w:r>
          </w:p>
        </w:tc>
      </w:tr>
      <w:tr w:rsidR="001E4ACA" w:rsidRPr="00296E50" w14:paraId="0C550B5E" w14:textId="3FAC54CB" w:rsidTr="00CC55D0">
        <w:trPr>
          <w:trHeight w:val="1757"/>
        </w:trPr>
        <w:tc>
          <w:tcPr>
            <w:tcW w:w="1696" w:type="dxa"/>
          </w:tcPr>
          <w:p w14:paraId="53937C8B" w14:textId="77777777" w:rsidR="001E4ACA" w:rsidRPr="000F1AAC" w:rsidRDefault="001E4ACA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0F1AAC">
              <w:rPr>
                <w:rFonts w:asciiTheme="majorHAnsi" w:hAnsiTheme="majorHAnsi" w:cstheme="majorHAnsi"/>
              </w:rPr>
              <w:t>Zestaw mebli na korytarz</w:t>
            </w:r>
            <w:r w:rsidRPr="008540EB">
              <w:rPr>
                <w:rFonts w:asciiTheme="majorHAnsi" w:hAnsiTheme="majorHAnsi" w:cstheme="majorHAnsi"/>
                <w:b/>
                <w:bCs/>
              </w:rPr>
              <w:t xml:space="preserve"> :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0F1AAC">
              <w:rPr>
                <w:rFonts w:asciiTheme="majorHAnsi" w:hAnsiTheme="majorHAnsi" w:cstheme="majorHAnsi"/>
                <w:b/>
                <w:bCs/>
              </w:rPr>
              <w:t>narożnik 1 szt. sofa 1 szt.</w:t>
            </w:r>
          </w:p>
          <w:p w14:paraId="7AA17222" w14:textId="38BC216D" w:rsidR="001E4ACA" w:rsidRPr="00296E50" w:rsidRDefault="001E4ACA" w:rsidP="00D500F4">
            <w:pPr>
              <w:rPr>
                <w:rFonts w:asciiTheme="majorHAnsi" w:hAnsiTheme="majorHAnsi" w:cstheme="majorHAnsi"/>
                <w:b/>
                <w:bCs/>
              </w:rPr>
            </w:pPr>
            <w:r w:rsidRPr="000F1AAC">
              <w:rPr>
                <w:rFonts w:asciiTheme="majorHAnsi" w:hAnsiTheme="majorHAnsi" w:cstheme="majorHAnsi"/>
                <w:b/>
                <w:bCs/>
              </w:rPr>
              <w:t>siedzisko 1 szt</w:t>
            </w:r>
            <w:r w:rsidRPr="000F1AAC">
              <w:rPr>
                <w:rFonts w:asciiTheme="majorHAnsi" w:hAnsiTheme="majorHAnsi" w:cstheme="majorHAnsi"/>
              </w:rPr>
              <w:t>.</w:t>
            </w:r>
          </w:p>
        </w:tc>
        <w:tc>
          <w:tcPr>
            <w:tcW w:w="11907" w:type="dxa"/>
            <w:gridSpan w:val="3"/>
          </w:tcPr>
          <w:p w14:paraId="513DC8E9" w14:textId="599BD06A" w:rsidR="001E4ACA" w:rsidRPr="006F3946" w:rsidRDefault="001E4ACA" w:rsidP="003866F7">
            <w:pPr>
              <w:pStyle w:val="NormalnyWeb"/>
              <w:rPr>
                <w:rFonts w:asciiTheme="majorHAnsi" w:hAnsiTheme="majorHAnsi" w:cstheme="majorHAnsi"/>
                <w:sz w:val="22"/>
                <w:szCs w:val="22"/>
              </w:rPr>
            </w:pPr>
            <w:r w:rsidRPr="000F1AAC">
              <w:rPr>
                <w:rStyle w:val="Pogrubienie"/>
                <w:rFonts w:asciiTheme="majorHAnsi" w:hAnsiTheme="majorHAnsi" w:cstheme="majorHAnsi"/>
                <w:sz w:val="22"/>
                <w:szCs w:val="22"/>
              </w:rPr>
              <w:t>Przeznaczenie i warunki użytkowania</w:t>
            </w:r>
            <w:r>
              <w:rPr>
                <w:rStyle w:val="Pogrubienie"/>
                <w:rFonts w:asciiTheme="majorHAnsi" w:hAnsiTheme="majorHAnsi" w:cstheme="majorHAnsi"/>
                <w:sz w:val="22"/>
                <w:szCs w:val="22"/>
              </w:rPr>
              <w:t>:</w:t>
            </w:r>
            <w:r w:rsidRPr="00784555">
              <w:rPr>
                <w:rFonts w:asciiTheme="majorHAnsi" w:hAnsiTheme="majorHAnsi" w:cstheme="majorHAnsi"/>
                <w:sz w:val="22"/>
                <w:szCs w:val="22"/>
              </w:rPr>
              <w:br/>
              <w:t xml:space="preserve">Meble tapicerowane (narożnik/sofa/siedzisko) przeznaczone są do ustawienia na korytarzu szkolnym – strefa ogólnodostępna o intensywnym ruchu. Wymaga się rozwiązań przystosowanych do </w:t>
            </w:r>
            <w:r w:rsidRPr="00784555">
              <w:rPr>
                <w:rStyle w:val="Pogrubienie"/>
                <w:rFonts w:asciiTheme="majorHAnsi" w:hAnsiTheme="majorHAnsi" w:cstheme="majorHAnsi"/>
                <w:b w:val="0"/>
                <w:bCs w:val="0"/>
                <w:sz w:val="22"/>
                <w:szCs w:val="22"/>
              </w:rPr>
              <w:t>intensywnego użytkowania w przestrzeniach publicznych</w:t>
            </w:r>
            <w:r w:rsidRPr="00784555">
              <w:rPr>
                <w:rFonts w:asciiTheme="majorHAnsi" w:hAnsiTheme="majorHAnsi" w:cstheme="majorHAnsi"/>
                <w:sz w:val="22"/>
                <w:szCs w:val="22"/>
              </w:rPr>
              <w:t>, odpornych na zabrudzenia, otarcia i regularne czyszczenie.</w:t>
            </w:r>
          </w:p>
        </w:tc>
      </w:tr>
      <w:tr w:rsidR="00CE7BC8" w:rsidRPr="00296E50" w14:paraId="08F2501E" w14:textId="77777777" w:rsidTr="00800E68">
        <w:tc>
          <w:tcPr>
            <w:tcW w:w="1696" w:type="dxa"/>
          </w:tcPr>
          <w:p w14:paraId="46CFC8D6" w14:textId="7D95DE19" w:rsidR="00D500F4" w:rsidRPr="00296E50" w:rsidRDefault="00B57D1F" w:rsidP="00D500F4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lastRenderedPageBreak/>
              <w:t>NAROŻNIK</w:t>
            </w:r>
          </w:p>
        </w:tc>
        <w:tc>
          <w:tcPr>
            <w:tcW w:w="709" w:type="dxa"/>
          </w:tcPr>
          <w:p w14:paraId="2C589169" w14:textId="5C36E005" w:rsidR="00D500F4" w:rsidRPr="00296E50" w:rsidRDefault="00D500F4" w:rsidP="00D500F4">
            <w:pPr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 xml:space="preserve">1 </w:t>
            </w:r>
            <w:r w:rsidR="00800E68">
              <w:rPr>
                <w:rFonts w:asciiTheme="majorHAnsi" w:hAnsiTheme="majorHAnsi" w:cstheme="majorHAnsi"/>
                <w:b/>
                <w:bCs/>
              </w:rPr>
              <w:t>szt.</w:t>
            </w:r>
          </w:p>
        </w:tc>
        <w:tc>
          <w:tcPr>
            <w:tcW w:w="6349" w:type="dxa"/>
          </w:tcPr>
          <w:p w14:paraId="16419014" w14:textId="79764F54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1.Przedmiot zamówienia</w:t>
            </w:r>
          </w:p>
          <w:p w14:paraId="6C411B04" w14:textId="08FCB456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Dostawa, wniesienie, ustawienie oraz przekazanie do użytkowania kanapy narożnej prawej przeznaczonej do pomieszczeń </w:t>
            </w:r>
            <w:r w:rsidR="001A1CB7">
              <w:rPr>
                <w:rFonts w:asciiTheme="majorHAnsi" w:hAnsiTheme="majorHAnsi" w:cstheme="majorHAnsi"/>
              </w:rPr>
              <w:t xml:space="preserve">i korytarzy </w:t>
            </w:r>
            <w:r w:rsidRPr="002906F0">
              <w:rPr>
                <w:rFonts w:asciiTheme="majorHAnsi" w:hAnsiTheme="majorHAnsi" w:cstheme="majorHAnsi"/>
              </w:rPr>
              <w:t>szkolnych</w:t>
            </w:r>
            <w:r w:rsidR="001A1CB7">
              <w:rPr>
                <w:rFonts w:asciiTheme="majorHAnsi" w:hAnsiTheme="majorHAnsi" w:cstheme="majorHAnsi"/>
              </w:rPr>
              <w:t>.</w:t>
            </w:r>
            <w:r w:rsidRPr="002906F0">
              <w:rPr>
                <w:rFonts w:asciiTheme="majorHAnsi" w:hAnsiTheme="majorHAnsi" w:cstheme="majorHAnsi"/>
              </w:rPr>
              <w:t xml:space="preserve"> Mebel przystosowany do intensywnego użytkowania </w:t>
            </w:r>
            <w:r w:rsidR="001A1CB7">
              <w:rPr>
                <w:rFonts w:asciiTheme="majorHAnsi" w:hAnsiTheme="majorHAnsi" w:cstheme="majorHAnsi"/>
              </w:rPr>
              <w:br/>
            </w:r>
            <w:r w:rsidRPr="002906F0">
              <w:rPr>
                <w:rFonts w:asciiTheme="majorHAnsi" w:hAnsiTheme="majorHAnsi" w:cstheme="majorHAnsi"/>
              </w:rPr>
              <w:t>w przestrzeni publicznej, odporny na czyszczenie i dezynfekcję zgodnie z zaleceniami producenta.</w:t>
            </w:r>
          </w:p>
          <w:p w14:paraId="65183664" w14:textId="2C0EBE5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Dopuszcza się rozwiązania równoważne, tj. spełniające co najmniej wymagania minimalne wskazane poniżej (funkcjonalność, wymiary w zakresach, trwałość, bezpieczeństwo).</w:t>
            </w:r>
          </w:p>
          <w:p w14:paraId="14CBFAC0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2. Wymagania ogólne</w:t>
            </w:r>
          </w:p>
          <w:p w14:paraId="705F6526" w14:textId="77777777" w:rsidR="00D500F4" w:rsidRPr="002906F0" w:rsidRDefault="00D500F4">
            <w:pPr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Kanapa fabrycznie nowa, wolna od wad, kompletna, gotowa do użytkowania.</w:t>
            </w:r>
          </w:p>
          <w:p w14:paraId="16B85500" w14:textId="77777777" w:rsidR="00D500F4" w:rsidRPr="002906F0" w:rsidRDefault="00D500F4">
            <w:pPr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Konstrukcja stabilna, bez ostrych krawędzi, zapewniająca bezpieczne użytkowanie przez młodzież i osoby dorosłe.</w:t>
            </w:r>
          </w:p>
          <w:p w14:paraId="38A18D95" w14:textId="40019F6E" w:rsidR="00D500F4" w:rsidRPr="002906F0" w:rsidRDefault="00D500F4">
            <w:pPr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Materiały odporne na intensywne użytkowanie i łatwe </w:t>
            </w:r>
            <w:r>
              <w:rPr>
                <w:rFonts w:asciiTheme="majorHAnsi" w:hAnsiTheme="majorHAnsi" w:cstheme="majorHAnsi"/>
              </w:rPr>
              <w:br/>
            </w:r>
            <w:r w:rsidRPr="002906F0">
              <w:rPr>
                <w:rFonts w:asciiTheme="majorHAnsi" w:hAnsiTheme="majorHAnsi" w:cstheme="majorHAnsi"/>
              </w:rPr>
              <w:t xml:space="preserve">do czyszczenia (w tym preparatami stosowanymi </w:t>
            </w:r>
            <w:r>
              <w:rPr>
                <w:rFonts w:asciiTheme="majorHAnsi" w:hAnsiTheme="majorHAnsi" w:cstheme="majorHAnsi"/>
              </w:rPr>
              <w:br/>
            </w:r>
            <w:r w:rsidRPr="002906F0">
              <w:rPr>
                <w:rFonts w:asciiTheme="majorHAnsi" w:hAnsiTheme="majorHAnsi" w:cstheme="majorHAnsi"/>
              </w:rPr>
              <w:t>w placówkach publicznych – zgodnie z instrukcją producenta).</w:t>
            </w:r>
          </w:p>
          <w:p w14:paraId="1F0824B9" w14:textId="608518DD" w:rsidR="00D500F4" w:rsidRPr="002906F0" w:rsidRDefault="00D500F4">
            <w:pPr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Narożnik prawy – krótszy bok znajduje się po prawej stronie użytkownika siedzącego na kanapie (patrząc na kanapę od frontu).</w:t>
            </w:r>
          </w:p>
          <w:p w14:paraId="16759F55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3. Wymagania techniczne</w:t>
            </w:r>
          </w:p>
          <w:p w14:paraId="396E365A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3.1. Tapicerka</w:t>
            </w:r>
          </w:p>
          <w:p w14:paraId="3517311C" w14:textId="37D6183F" w:rsidR="007C4824" w:rsidRPr="001E4ACA" w:rsidRDefault="00D500F4">
            <w:pPr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Tapicerka: ekoskóra PU lub materiał równoważny </w:t>
            </w:r>
            <w:r>
              <w:rPr>
                <w:rFonts w:asciiTheme="majorHAnsi" w:hAnsiTheme="majorHAnsi" w:cstheme="majorHAnsi"/>
              </w:rPr>
              <w:br/>
            </w:r>
            <w:r w:rsidRPr="000A5355">
              <w:rPr>
                <w:rFonts w:asciiTheme="majorHAnsi" w:hAnsiTheme="majorHAnsi" w:cstheme="majorHAnsi"/>
              </w:rPr>
              <w:t>o parametrach użytkowych nie gorszych.</w:t>
            </w:r>
          </w:p>
          <w:p w14:paraId="30210362" w14:textId="4738C84D" w:rsidR="000A5355" w:rsidRPr="000A5355" w:rsidRDefault="000A5355">
            <w:pPr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0A5355">
              <w:rPr>
                <w:rFonts w:asciiTheme="majorHAnsi" w:hAnsiTheme="majorHAnsi" w:cstheme="majorHAnsi"/>
                <w:b/>
                <w:bCs/>
              </w:rPr>
              <w:t>Kolorystyka:</w:t>
            </w:r>
            <w:r w:rsidRPr="000A5355">
              <w:rPr>
                <w:rFonts w:asciiTheme="majorHAnsi" w:hAnsiTheme="majorHAnsi" w:cstheme="majorHAnsi"/>
              </w:rPr>
              <w:t xml:space="preserve"> </w:t>
            </w:r>
            <w:r w:rsidR="00D355EA" w:rsidRPr="00D355EA">
              <w:rPr>
                <w:rFonts w:asciiTheme="majorHAnsi" w:hAnsiTheme="majorHAnsi" w:cstheme="majorHAnsi"/>
                <w:b/>
                <w:bCs/>
              </w:rPr>
              <w:t>j</w:t>
            </w:r>
            <w:r w:rsidRPr="00D355EA">
              <w:rPr>
                <w:rFonts w:asciiTheme="majorHAnsi" w:hAnsiTheme="majorHAnsi" w:cstheme="majorHAnsi"/>
                <w:b/>
                <w:bCs/>
              </w:rPr>
              <w:t>asny beż</w:t>
            </w:r>
          </w:p>
          <w:p w14:paraId="7D8B8F21" w14:textId="0DCC7DB6" w:rsidR="000A5355" w:rsidRPr="00D355EA" w:rsidRDefault="000A5355" w:rsidP="005D31A4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D355EA">
              <w:rPr>
                <w:rFonts w:asciiTheme="majorHAnsi" w:hAnsiTheme="majorHAnsi" w:cstheme="majorHAnsi"/>
              </w:rPr>
              <w:t xml:space="preserve">Zamawiający określa kolor bazowy jako </w:t>
            </w:r>
            <w:r w:rsidRPr="00800E68">
              <w:rPr>
                <w:rFonts w:asciiTheme="majorHAnsi" w:hAnsiTheme="majorHAnsi" w:cstheme="majorHAnsi"/>
                <w:b/>
                <w:bCs/>
              </w:rPr>
              <w:t>odpowiednik RAL 1015</w:t>
            </w:r>
            <w:r w:rsidRPr="00D355EA">
              <w:rPr>
                <w:rFonts w:asciiTheme="majorHAnsi" w:hAnsiTheme="majorHAnsi" w:cstheme="majorHAnsi"/>
              </w:rPr>
              <w:t xml:space="preserve"> (</w:t>
            </w:r>
            <w:proofErr w:type="spellStart"/>
            <w:r w:rsidRPr="00D355EA">
              <w:rPr>
                <w:rFonts w:asciiTheme="majorHAnsi" w:hAnsiTheme="majorHAnsi" w:cstheme="majorHAnsi"/>
              </w:rPr>
              <w:t>Light</w:t>
            </w:r>
            <w:proofErr w:type="spellEnd"/>
            <w:r w:rsidRPr="00D355EA">
              <w:rPr>
                <w:rFonts w:asciiTheme="majorHAnsi" w:hAnsiTheme="majorHAnsi" w:cstheme="majorHAnsi"/>
              </w:rPr>
              <w:t xml:space="preserve"> </w:t>
            </w:r>
            <w:proofErr w:type="spellStart"/>
            <w:r w:rsidRPr="00D355EA">
              <w:rPr>
                <w:rFonts w:asciiTheme="majorHAnsi" w:hAnsiTheme="majorHAnsi" w:cstheme="majorHAnsi"/>
              </w:rPr>
              <w:t>ivory</w:t>
            </w:r>
            <w:proofErr w:type="spellEnd"/>
            <w:r w:rsidRPr="00D355EA">
              <w:rPr>
                <w:rFonts w:asciiTheme="majorHAnsi" w:hAnsiTheme="majorHAnsi" w:cstheme="majorHAnsi"/>
              </w:rPr>
              <w:t>) lub NCS S 1005-Y20R.</w:t>
            </w:r>
          </w:p>
          <w:p w14:paraId="029CC982" w14:textId="44776CDB" w:rsidR="005D31A4" w:rsidRDefault="005D31A4" w:rsidP="00D355EA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833900">
              <w:rPr>
                <w:rFonts w:asciiTheme="majorHAnsi" w:hAnsiTheme="majorHAnsi" w:cstheme="majorHAnsi"/>
                <w:b/>
                <w:bCs/>
              </w:rPr>
              <w:t>Równoważność:</w:t>
            </w:r>
            <w:r w:rsidRPr="00500E81">
              <w:rPr>
                <w:rFonts w:asciiTheme="majorHAnsi" w:hAnsiTheme="majorHAnsi" w:cstheme="majorHAnsi"/>
              </w:rPr>
              <w:t xml:space="preserve"> Dopuszcza się inne odcienie z palety producenta o zbliżonym nasyceniu i barwie</w:t>
            </w:r>
            <w:r w:rsidR="00D355EA">
              <w:rPr>
                <w:rFonts w:asciiTheme="majorHAnsi" w:hAnsiTheme="majorHAnsi" w:cstheme="majorHAnsi"/>
              </w:rPr>
              <w:t>.</w:t>
            </w:r>
          </w:p>
          <w:p w14:paraId="0CC67DCC" w14:textId="29782E81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3.2. Konstrukcja (stelaż)</w:t>
            </w:r>
          </w:p>
          <w:p w14:paraId="35D4C092" w14:textId="77777777" w:rsidR="00D500F4" w:rsidRPr="002906F0" w:rsidRDefault="00D500F4">
            <w:pPr>
              <w:numPr>
                <w:ilvl w:val="0"/>
                <w:numId w:val="21"/>
              </w:numPr>
              <w:spacing w:after="0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Stelaż wykonany z drewna litego/sklejki/płyty konstrukcyjnej lub rozwiązania równoważnego o trwałości nie gorszej.</w:t>
            </w:r>
          </w:p>
          <w:p w14:paraId="3DEC6320" w14:textId="77777777" w:rsidR="00D500F4" w:rsidRPr="002906F0" w:rsidRDefault="00D500F4">
            <w:pPr>
              <w:numPr>
                <w:ilvl w:val="0"/>
                <w:numId w:val="2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Konstrukcja odporna na pękanie, wyginanie i zużycie przy intensywnej eksploatacji (obiekt publiczny).</w:t>
            </w:r>
          </w:p>
          <w:p w14:paraId="01645479" w14:textId="3AC0588A" w:rsidR="00ED346E" w:rsidRPr="007B17C3" w:rsidRDefault="00D500F4">
            <w:pPr>
              <w:numPr>
                <w:ilvl w:val="0"/>
                <w:numId w:val="2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lastRenderedPageBreak/>
              <w:t>Elementy połączone trwale, bez luzów; mebel nie może chwiać się podczas użytkowania.</w:t>
            </w:r>
          </w:p>
          <w:p w14:paraId="15F4E743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3.4. Nóżki / stopki</w:t>
            </w:r>
          </w:p>
          <w:p w14:paraId="6F58A73D" w14:textId="477C2816" w:rsidR="00D500F4" w:rsidRPr="002906F0" w:rsidRDefault="00D500F4">
            <w:pPr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Nóżki z tworzywa/metalu/drewna </w:t>
            </w:r>
          </w:p>
          <w:p w14:paraId="3714CE50" w14:textId="77777777" w:rsidR="00D500F4" w:rsidRPr="002906F0" w:rsidRDefault="00D500F4">
            <w:pPr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Stabilne, przystosowane do intensywnego użytkowania.</w:t>
            </w:r>
          </w:p>
          <w:p w14:paraId="0AF0E35C" w14:textId="406F7431" w:rsidR="00610FF3" w:rsidRPr="00BB2F0F" w:rsidRDefault="00D500F4">
            <w:pPr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Wyposażone w stopki zabezpieczające podłogę przed rysowaniem.</w:t>
            </w:r>
          </w:p>
          <w:p w14:paraId="3156F778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4. Wymiary (zakresy – wymagania minimalne)</w:t>
            </w:r>
          </w:p>
          <w:p w14:paraId="70608DBC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4.1. Wymiary zewnętrzne</w:t>
            </w:r>
          </w:p>
          <w:p w14:paraId="432A48A7" w14:textId="77777777" w:rsidR="00D500F4" w:rsidRPr="002906F0" w:rsidRDefault="00D500F4">
            <w:pPr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długość krótszego boku: 90–100 cm</w:t>
            </w:r>
          </w:p>
          <w:p w14:paraId="4832031D" w14:textId="77777777" w:rsidR="00D500F4" w:rsidRPr="002906F0" w:rsidRDefault="00D500F4">
            <w:pPr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długość dłuższego boku: 180–200 cm</w:t>
            </w:r>
          </w:p>
          <w:p w14:paraId="41AE3E36" w14:textId="23F97C75" w:rsidR="00D500F4" w:rsidRPr="002906F0" w:rsidRDefault="00D500F4">
            <w:pPr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wysokość całkowita: do </w:t>
            </w:r>
            <w:r w:rsidR="00EC1796">
              <w:rPr>
                <w:rFonts w:asciiTheme="majorHAnsi" w:hAnsiTheme="majorHAnsi" w:cstheme="majorHAnsi"/>
              </w:rPr>
              <w:t>90</w:t>
            </w:r>
            <w:r w:rsidRPr="002906F0">
              <w:rPr>
                <w:rFonts w:asciiTheme="majorHAnsi" w:hAnsiTheme="majorHAnsi" w:cstheme="majorHAnsi"/>
              </w:rPr>
              <w:t xml:space="preserve"> cm</w:t>
            </w:r>
          </w:p>
          <w:p w14:paraId="54956CD1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4.2. Wymiary użytkowe</w:t>
            </w:r>
          </w:p>
          <w:p w14:paraId="037C678B" w14:textId="77777777" w:rsidR="00D500F4" w:rsidRPr="002906F0" w:rsidRDefault="00D500F4">
            <w:pPr>
              <w:numPr>
                <w:ilvl w:val="0"/>
                <w:numId w:val="2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wysokość siedziska: 42–48 cm</w:t>
            </w:r>
          </w:p>
          <w:p w14:paraId="5F867C17" w14:textId="1004FE80" w:rsidR="00D500F4" w:rsidRPr="002906F0" w:rsidRDefault="00D500F4">
            <w:pPr>
              <w:numPr>
                <w:ilvl w:val="0"/>
                <w:numId w:val="2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 xml:space="preserve">głębokość siedziska: </w:t>
            </w:r>
            <w:r w:rsidR="00ED5E5B">
              <w:rPr>
                <w:rFonts w:asciiTheme="majorHAnsi" w:hAnsiTheme="majorHAnsi" w:cstheme="majorHAnsi"/>
              </w:rPr>
              <w:t>38</w:t>
            </w:r>
            <w:r w:rsidRPr="002906F0">
              <w:rPr>
                <w:rFonts w:asciiTheme="majorHAnsi" w:hAnsiTheme="majorHAnsi" w:cstheme="majorHAnsi"/>
              </w:rPr>
              <w:t>–4</w:t>
            </w:r>
            <w:r w:rsidR="009A7472">
              <w:rPr>
                <w:rFonts w:asciiTheme="majorHAnsi" w:hAnsiTheme="majorHAnsi" w:cstheme="majorHAnsi"/>
              </w:rPr>
              <w:t>5</w:t>
            </w:r>
            <w:r w:rsidRPr="002906F0">
              <w:rPr>
                <w:rFonts w:asciiTheme="majorHAnsi" w:hAnsiTheme="majorHAnsi" w:cstheme="majorHAnsi"/>
              </w:rPr>
              <w:t xml:space="preserve"> cm</w:t>
            </w:r>
          </w:p>
          <w:p w14:paraId="455371D2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5. Normy i wymagania (lub równoważne)</w:t>
            </w:r>
          </w:p>
          <w:p w14:paraId="2D425B9C" w14:textId="77777777" w:rsidR="00D500F4" w:rsidRPr="002906F0" w:rsidRDefault="00D500F4" w:rsidP="00D500F4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906F0">
              <w:rPr>
                <w:rFonts w:asciiTheme="majorHAnsi" w:hAnsiTheme="majorHAnsi" w:cstheme="majorHAnsi"/>
                <w:b/>
                <w:bCs/>
              </w:rPr>
              <w:t>5.1. Normy konstrukcyjne i bezpieczeństwa</w:t>
            </w:r>
          </w:p>
          <w:p w14:paraId="65C12CBD" w14:textId="77777777" w:rsidR="00D500F4" w:rsidRPr="002906F0" w:rsidRDefault="00D500F4">
            <w:pPr>
              <w:numPr>
                <w:ilvl w:val="0"/>
                <w:numId w:val="2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PN-EN 16139 – meble do użytkowania nie-domowego: wytrzymałość, trwałość, bezpieczeństwo (lub równoważna),</w:t>
            </w:r>
          </w:p>
          <w:p w14:paraId="5FB1A1B0" w14:textId="54C9E937" w:rsidR="00BD36BF" w:rsidRPr="00CC55D0" w:rsidRDefault="00D500F4">
            <w:pPr>
              <w:numPr>
                <w:ilvl w:val="0"/>
                <w:numId w:val="2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906F0">
              <w:rPr>
                <w:rFonts w:asciiTheme="majorHAnsi" w:hAnsiTheme="majorHAnsi" w:cstheme="majorHAnsi"/>
              </w:rPr>
              <w:t>PN-EN 1022 – stabilność mebli do siedzenia (lub równoważna).</w:t>
            </w:r>
          </w:p>
        </w:tc>
        <w:tc>
          <w:tcPr>
            <w:tcW w:w="4849" w:type="dxa"/>
          </w:tcPr>
          <w:p w14:paraId="08AB0916" w14:textId="363C50D3" w:rsidR="00D500F4" w:rsidRPr="00296E50" w:rsidRDefault="00D05957" w:rsidP="00D05957">
            <w:pPr>
              <w:jc w:val="center"/>
              <w:rPr>
                <w:rFonts w:asciiTheme="majorHAnsi" w:hAnsiTheme="majorHAnsi" w:cstheme="majorHAnsi"/>
              </w:rPr>
            </w:pPr>
            <w:r w:rsidRPr="00D05957">
              <w:rPr>
                <w:rFonts w:asciiTheme="majorHAnsi" w:hAnsiTheme="majorHAnsi" w:cstheme="majorHAnsi"/>
                <w:noProof/>
              </w:rPr>
              <w:lastRenderedPageBreak/>
              <w:drawing>
                <wp:inline distT="0" distB="0" distL="0" distR="0" wp14:anchorId="12C46784" wp14:editId="2C592E8E">
                  <wp:extent cx="2382520" cy="1384300"/>
                  <wp:effectExtent l="0" t="0" r="0" b="6350"/>
                  <wp:docPr id="171330442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520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0AE0F" w14:textId="260DD607" w:rsidR="00D500F4" w:rsidRPr="00296E50" w:rsidRDefault="00D500F4" w:rsidP="00D05957">
            <w:pPr>
              <w:tabs>
                <w:tab w:val="left" w:pos="1068"/>
              </w:tabs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</w:rPr>
              <w:t>*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Rysunek ma charakter poglądowy i nie stanowi wskazania producenta. Wymiary wymagane określone są wyłącznie w opisie przedmiotu zamówienia</w:t>
            </w:r>
            <w:r>
              <w:rPr>
                <w:rFonts w:asciiTheme="majorHAnsi" w:hAnsiTheme="majorHAnsi" w:cstheme="majorHAnsi"/>
                <w:i/>
                <w:iCs/>
              </w:rPr>
              <w:t>.</w:t>
            </w:r>
          </w:p>
        </w:tc>
      </w:tr>
      <w:tr w:rsidR="00CE7BC8" w:rsidRPr="00296E50" w14:paraId="7446767C" w14:textId="77777777" w:rsidTr="00800E68">
        <w:trPr>
          <w:trHeight w:val="988"/>
        </w:trPr>
        <w:tc>
          <w:tcPr>
            <w:tcW w:w="1696" w:type="dxa"/>
          </w:tcPr>
          <w:p w14:paraId="3E4CDBEA" w14:textId="0180D41D" w:rsidR="00B57D1F" w:rsidRDefault="00B57D1F" w:rsidP="00B57D1F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S</w:t>
            </w:r>
            <w:r w:rsidR="00B724CF">
              <w:rPr>
                <w:rFonts w:asciiTheme="majorHAnsi" w:hAnsiTheme="majorHAnsi" w:cstheme="majorHAnsi"/>
                <w:b/>
                <w:bCs/>
              </w:rPr>
              <w:t>ofa</w:t>
            </w:r>
          </w:p>
          <w:p w14:paraId="52F83A22" w14:textId="77777777" w:rsidR="00D500F4" w:rsidRPr="00296E50" w:rsidRDefault="00D500F4" w:rsidP="00D500F4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709" w:type="dxa"/>
          </w:tcPr>
          <w:p w14:paraId="17DAFCC7" w14:textId="59EB0D1B" w:rsidR="00D500F4" w:rsidRPr="00296E50" w:rsidRDefault="003866F7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6349" w:type="dxa"/>
          </w:tcPr>
          <w:p w14:paraId="123544A2" w14:textId="77777777" w:rsidR="00D500F4" w:rsidRPr="00E64B7D" w:rsidRDefault="00D500F4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343D83FC" w14:textId="5C49CADC" w:rsidR="007B17C3" w:rsidRPr="00E64B7D" w:rsidRDefault="00D500F4" w:rsidP="002E0157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Dostawa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Pr="00E64B7D">
              <w:rPr>
                <w:rFonts w:asciiTheme="majorHAnsi" w:hAnsiTheme="majorHAnsi" w:cstheme="majorHAnsi"/>
                <w:b/>
                <w:bCs/>
              </w:rPr>
              <w:t>sofy (kanapy) przeznaczonej do przestrzeni publicznych</w:t>
            </w:r>
            <w:r w:rsidRPr="00E64B7D">
              <w:rPr>
                <w:rFonts w:asciiTheme="majorHAnsi" w:hAnsiTheme="majorHAnsi" w:cstheme="majorHAnsi"/>
              </w:rPr>
              <w:t xml:space="preserve"> w szkole (gabinet specjalisty, biblioteka, świetlica, strefa relaksu, poczekalnia). Mebel przystosowany do intensywnego użytkowania oraz regularnego czyszczenia i dezynfekcji zgodnie z zaleceniami producenta.</w:t>
            </w:r>
            <w:r w:rsidR="00D97AD4">
              <w:rPr>
                <w:rFonts w:asciiTheme="majorHAnsi" w:hAnsiTheme="majorHAnsi" w:cstheme="majorHAnsi"/>
              </w:rPr>
              <w:t xml:space="preserve"> </w:t>
            </w:r>
            <w:r w:rsidRPr="00E64B7D">
              <w:rPr>
                <w:rFonts w:asciiTheme="majorHAnsi" w:hAnsiTheme="majorHAnsi" w:cstheme="majorHAnsi"/>
              </w:rPr>
              <w:t xml:space="preserve">Dopuszcza się rozwiązania </w:t>
            </w:r>
            <w:r w:rsidRPr="00E64B7D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E64B7D">
              <w:rPr>
                <w:rFonts w:asciiTheme="majorHAnsi" w:hAnsiTheme="majorHAnsi" w:cstheme="majorHAnsi"/>
              </w:rPr>
              <w:t>, tj. spełniające co najmniej wymagania minimalne wskazane poniżej (funkcjonalność, trwałość, bezpieczeństwo, wymiary w zakresach).</w:t>
            </w:r>
          </w:p>
          <w:p w14:paraId="64562475" w14:textId="00117410" w:rsidR="00D500F4" w:rsidRPr="00E64B7D" w:rsidRDefault="00D500F4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2. Wymagania ogólne</w:t>
            </w:r>
            <w:r w:rsidR="007B17C3">
              <w:rPr>
                <w:rFonts w:asciiTheme="majorHAnsi" w:hAnsiTheme="majorHAnsi" w:cstheme="majorHAnsi"/>
                <w:b/>
                <w:bCs/>
              </w:rPr>
              <w:t>:</w:t>
            </w:r>
          </w:p>
          <w:p w14:paraId="57C179A3" w14:textId="77777777" w:rsidR="00D500F4" w:rsidRPr="00E64B7D" w:rsidRDefault="00D500F4">
            <w:pPr>
              <w:numPr>
                <w:ilvl w:val="0"/>
                <w:numId w:val="26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Sofa fabrycznie nowa, wolna od wad, kompletna, gotowa do użytkowania.</w:t>
            </w:r>
          </w:p>
          <w:p w14:paraId="317DB5B5" w14:textId="3040D9CB" w:rsidR="00BD36BF" w:rsidRPr="00961EEC" w:rsidRDefault="00D500F4">
            <w:pPr>
              <w:numPr>
                <w:ilvl w:val="0"/>
                <w:numId w:val="26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Konstrukcja stabilna, bez ostrych krawędzi; bezpieczna dla młodzieży i osób dorosłych.</w:t>
            </w:r>
          </w:p>
          <w:p w14:paraId="08DBA329" w14:textId="77777777" w:rsidR="00D500F4" w:rsidRPr="00E64B7D" w:rsidRDefault="00D500F4">
            <w:pPr>
              <w:numPr>
                <w:ilvl w:val="0"/>
                <w:numId w:val="26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lastRenderedPageBreak/>
              <w:t>Mebel przeznaczony do użytkowania w obiektach użyteczności publicznej (odporność na intensywną eksploatację).</w:t>
            </w:r>
          </w:p>
          <w:p w14:paraId="6D0F143D" w14:textId="77777777" w:rsidR="00D500F4" w:rsidRPr="00E64B7D" w:rsidRDefault="00D500F4">
            <w:pPr>
              <w:numPr>
                <w:ilvl w:val="0"/>
                <w:numId w:val="26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Powierzchnie łatwe do utrzymania w czystości; możliwość czyszczenia standardowymi środkami stosowanymi w placówkach publicznych (zgodnie z instrukcją producenta).</w:t>
            </w:r>
          </w:p>
          <w:p w14:paraId="3044430D" w14:textId="49FF5625" w:rsidR="006E79CC" w:rsidRPr="007B17C3" w:rsidRDefault="00D500F4">
            <w:pPr>
              <w:numPr>
                <w:ilvl w:val="0"/>
                <w:numId w:val="26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Stopki/podstawa nie mogą rysować posadzki; wymagane rozwiązanie zabezpieczające podłoże (np. stopki, podkładki, spód antypoślizgowy).</w:t>
            </w:r>
          </w:p>
          <w:p w14:paraId="312AFD95" w14:textId="77777777" w:rsidR="00D500F4" w:rsidRPr="00E64B7D" w:rsidRDefault="00D500F4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3. Wymiary (zakresy – wymagania minimalne)</w:t>
            </w:r>
          </w:p>
          <w:p w14:paraId="594F0D00" w14:textId="77777777" w:rsidR="00D500F4" w:rsidRPr="00FE5631" w:rsidRDefault="00D500F4">
            <w:pPr>
              <w:numPr>
                <w:ilvl w:val="0"/>
                <w:numId w:val="27"/>
              </w:numPr>
              <w:spacing w:after="0"/>
              <w:rPr>
                <w:rFonts w:asciiTheme="majorHAnsi" w:hAnsiTheme="majorHAnsi" w:cstheme="majorHAnsi"/>
              </w:rPr>
            </w:pPr>
            <w:r w:rsidRPr="00FE5631">
              <w:rPr>
                <w:rFonts w:asciiTheme="majorHAnsi" w:hAnsiTheme="majorHAnsi" w:cstheme="majorHAnsi"/>
              </w:rPr>
              <w:t>szerokość (długość) całkowita: 150–210 cm</w:t>
            </w:r>
          </w:p>
          <w:p w14:paraId="48B2AAF7" w14:textId="77777777" w:rsidR="00D500F4" w:rsidRPr="00FE5631" w:rsidRDefault="00D500F4">
            <w:pPr>
              <w:numPr>
                <w:ilvl w:val="0"/>
                <w:numId w:val="27"/>
              </w:numPr>
              <w:spacing w:after="0"/>
              <w:rPr>
                <w:rFonts w:asciiTheme="majorHAnsi" w:hAnsiTheme="majorHAnsi" w:cstheme="majorHAnsi"/>
              </w:rPr>
            </w:pPr>
            <w:r w:rsidRPr="00FE5631">
              <w:rPr>
                <w:rFonts w:asciiTheme="majorHAnsi" w:hAnsiTheme="majorHAnsi" w:cstheme="majorHAnsi"/>
              </w:rPr>
              <w:t>głębokość całkowita: 70–85 cm</w:t>
            </w:r>
          </w:p>
          <w:p w14:paraId="0955AA23" w14:textId="77777777" w:rsidR="00D500F4" w:rsidRPr="00FE5631" w:rsidRDefault="00D500F4">
            <w:pPr>
              <w:numPr>
                <w:ilvl w:val="0"/>
                <w:numId w:val="27"/>
              </w:numPr>
              <w:spacing w:after="0"/>
              <w:rPr>
                <w:rFonts w:asciiTheme="majorHAnsi" w:hAnsiTheme="majorHAnsi" w:cstheme="majorHAnsi"/>
              </w:rPr>
            </w:pPr>
            <w:r w:rsidRPr="00FE5631">
              <w:rPr>
                <w:rFonts w:asciiTheme="majorHAnsi" w:hAnsiTheme="majorHAnsi" w:cstheme="majorHAnsi"/>
              </w:rPr>
              <w:t>wysokość całkowita: 60–75 cm</w:t>
            </w:r>
          </w:p>
          <w:p w14:paraId="366CC37A" w14:textId="77777777" w:rsidR="00D500F4" w:rsidRPr="00FE5631" w:rsidRDefault="00D500F4">
            <w:pPr>
              <w:numPr>
                <w:ilvl w:val="0"/>
                <w:numId w:val="27"/>
              </w:numPr>
              <w:spacing w:after="0"/>
              <w:rPr>
                <w:rFonts w:asciiTheme="majorHAnsi" w:hAnsiTheme="majorHAnsi" w:cstheme="majorHAnsi"/>
              </w:rPr>
            </w:pPr>
            <w:r w:rsidRPr="00FE5631">
              <w:rPr>
                <w:rFonts w:asciiTheme="majorHAnsi" w:hAnsiTheme="majorHAnsi" w:cstheme="majorHAnsi"/>
              </w:rPr>
              <w:t>wysokość siedziska: 35–45 cm</w:t>
            </w:r>
          </w:p>
          <w:p w14:paraId="4445F1EC" w14:textId="77777777" w:rsidR="00D500F4" w:rsidRPr="00E64B7D" w:rsidRDefault="00D500F4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4. Konstrukcja i wypełnienie</w:t>
            </w:r>
          </w:p>
          <w:p w14:paraId="4A5EC0FA" w14:textId="77777777" w:rsidR="00D500F4" w:rsidRPr="00E64B7D" w:rsidRDefault="00D500F4">
            <w:pPr>
              <w:numPr>
                <w:ilvl w:val="0"/>
                <w:numId w:val="2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Sofa wykonana w technologii piankowej lub na stelażu (dopuszczalne oba rozwiązania), przy czym wymaga się trwałości w warunkach użytkowania publicznego.</w:t>
            </w:r>
          </w:p>
          <w:p w14:paraId="301E1348" w14:textId="77777777" w:rsidR="00D500F4" w:rsidRPr="00E64B7D" w:rsidRDefault="00D500F4">
            <w:pPr>
              <w:numPr>
                <w:ilvl w:val="0"/>
                <w:numId w:val="2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Wypełnienie: pianka poliuretanowa (PUR/HR) lub równoważna o trwałości nie gorszej, odporna na trwałe odkształcenia.</w:t>
            </w:r>
          </w:p>
          <w:p w14:paraId="0CD6908B" w14:textId="77777777" w:rsidR="00D500F4" w:rsidRPr="00E64B7D" w:rsidRDefault="00D500F4">
            <w:pPr>
              <w:numPr>
                <w:ilvl w:val="0"/>
                <w:numId w:val="2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 xml:space="preserve">Minimalne parametry wypełnienia (dla siedziska): </w:t>
            </w:r>
            <w:r w:rsidRPr="00E64B7D">
              <w:rPr>
                <w:rFonts w:asciiTheme="majorHAnsi" w:hAnsiTheme="majorHAnsi" w:cstheme="majorHAnsi"/>
                <w:b/>
                <w:bCs/>
              </w:rPr>
              <w:t>gęstość min. 30 kg/m³</w:t>
            </w:r>
            <w:r w:rsidRPr="00E64B7D">
              <w:rPr>
                <w:rFonts w:asciiTheme="majorHAnsi" w:hAnsiTheme="majorHAnsi" w:cstheme="majorHAnsi"/>
              </w:rPr>
              <w:t xml:space="preserve"> lub równoważna trwałość potwierdzona parametrami producenta.</w:t>
            </w:r>
          </w:p>
          <w:p w14:paraId="5E818DFF" w14:textId="006CA4EE" w:rsidR="00D500F4" w:rsidRPr="00E64B7D" w:rsidRDefault="00D500F4">
            <w:pPr>
              <w:numPr>
                <w:ilvl w:val="0"/>
                <w:numId w:val="28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>Sofa nie może wykazywać chwiejności; połączenia elementów (jeżeli występują) muszą być trwałe i bez luzów.</w:t>
            </w:r>
          </w:p>
          <w:p w14:paraId="2B315996" w14:textId="77777777" w:rsidR="00D500F4" w:rsidRPr="00E64B7D" w:rsidRDefault="00D500F4" w:rsidP="00D500F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5. Tapicerka i wymagania higieniczne</w:t>
            </w:r>
          </w:p>
          <w:p w14:paraId="01751C34" w14:textId="3C6A9A46" w:rsidR="002E0157" w:rsidRPr="00BA0EF8" w:rsidRDefault="00D500F4">
            <w:pPr>
              <w:numPr>
                <w:ilvl w:val="0"/>
                <w:numId w:val="2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t xml:space="preserve">Tapicerka: </w:t>
            </w:r>
            <w:r w:rsidRPr="00E64B7D">
              <w:rPr>
                <w:rFonts w:asciiTheme="majorHAnsi" w:hAnsiTheme="majorHAnsi" w:cstheme="majorHAnsi"/>
                <w:b/>
                <w:bCs/>
              </w:rPr>
              <w:t>ekoskóra (PU) lub tkanina obiciowa</w:t>
            </w:r>
            <w:r w:rsidRPr="00E64B7D">
              <w:rPr>
                <w:rFonts w:asciiTheme="majorHAnsi" w:hAnsiTheme="majorHAnsi" w:cstheme="majorHAnsi"/>
              </w:rPr>
              <w:t xml:space="preserve"> o parametrach nie gorszych, przeznaczona do intensywnej eksploatacji </w:t>
            </w:r>
            <w:r w:rsidR="0076508F">
              <w:rPr>
                <w:rFonts w:asciiTheme="majorHAnsi" w:hAnsiTheme="majorHAnsi" w:cstheme="majorHAnsi"/>
              </w:rPr>
              <w:br/>
            </w:r>
            <w:r w:rsidRPr="00E64B7D">
              <w:rPr>
                <w:rFonts w:asciiTheme="majorHAnsi" w:hAnsiTheme="majorHAnsi" w:cstheme="majorHAnsi"/>
              </w:rPr>
              <w:t>w przestrzeniach publicznych.</w:t>
            </w:r>
          </w:p>
          <w:p w14:paraId="5F741F15" w14:textId="77777777" w:rsidR="00A43E47" w:rsidRPr="00A43E47" w:rsidRDefault="00A43E47">
            <w:pPr>
              <w:numPr>
                <w:ilvl w:val="0"/>
                <w:numId w:val="29"/>
              </w:numPr>
              <w:spacing w:after="0"/>
              <w:rPr>
                <w:rFonts w:asciiTheme="majorHAnsi" w:hAnsiTheme="majorHAnsi" w:cstheme="majorHAnsi"/>
              </w:rPr>
            </w:pPr>
            <w:r w:rsidRPr="00A43E47">
              <w:rPr>
                <w:rFonts w:asciiTheme="majorHAnsi" w:hAnsiTheme="majorHAnsi" w:cstheme="majorHAnsi"/>
                <w:b/>
                <w:bCs/>
              </w:rPr>
              <w:t>Kolorystyka</w:t>
            </w:r>
            <w:r w:rsidRPr="00A43E47">
              <w:rPr>
                <w:rFonts w:asciiTheme="majorHAnsi" w:hAnsiTheme="majorHAnsi" w:cstheme="majorHAnsi"/>
              </w:rPr>
              <w:t>: Jasny beż (odcień piaskowy lub kość słoniowa).</w:t>
            </w:r>
          </w:p>
          <w:p w14:paraId="2BBC764D" w14:textId="77777777" w:rsidR="00505609" w:rsidRDefault="00A43E47" w:rsidP="002E0157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A43E47">
              <w:rPr>
                <w:rFonts w:asciiTheme="majorHAnsi" w:hAnsiTheme="majorHAnsi" w:cstheme="majorHAnsi"/>
              </w:rPr>
              <w:t xml:space="preserve">Zamawiający określa kolor bazowy jako odpowiednik </w:t>
            </w:r>
          </w:p>
          <w:p w14:paraId="1FFCAD41" w14:textId="68C01397" w:rsidR="002E0157" w:rsidRDefault="00A43E47" w:rsidP="002E0157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A43E47">
              <w:rPr>
                <w:rFonts w:asciiTheme="majorHAnsi" w:hAnsiTheme="majorHAnsi" w:cstheme="majorHAnsi"/>
              </w:rPr>
              <w:t>RAL 1015 (</w:t>
            </w:r>
            <w:proofErr w:type="spellStart"/>
            <w:r w:rsidRPr="00A43E47">
              <w:rPr>
                <w:rFonts w:asciiTheme="majorHAnsi" w:hAnsiTheme="majorHAnsi" w:cstheme="majorHAnsi"/>
              </w:rPr>
              <w:t>Light</w:t>
            </w:r>
            <w:proofErr w:type="spellEnd"/>
            <w:r w:rsidRPr="00A43E47">
              <w:rPr>
                <w:rFonts w:asciiTheme="majorHAnsi" w:hAnsiTheme="majorHAnsi" w:cstheme="majorHAnsi"/>
              </w:rPr>
              <w:t xml:space="preserve"> </w:t>
            </w:r>
            <w:proofErr w:type="spellStart"/>
            <w:r w:rsidRPr="00A43E47">
              <w:rPr>
                <w:rFonts w:asciiTheme="majorHAnsi" w:hAnsiTheme="majorHAnsi" w:cstheme="majorHAnsi"/>
              </w:rPr>
              <w:t>ivory</w:t>
            </w:r>
            <w:proofErr w:type="spellEnd"/>
            <w:r w:rsidRPr="00A43E47">
              <w:rPr>
                <w:rFonts w:asciiTheme="majorHAnsi" w:hAnsiTheme="majorHAnsi" w:cstheme="majorHAnsi"/>
              </w:rPr>
              <w:t>) lub NCS S 1005-Y20R.</w:t>
            </w:r>
          </w:p>
          <w:p w14:paraId="206C2043" w14:textId="55397645" w:rsidR="00D500F4" w:rsidRPr="00E64B7D" w:rsidRDefault="005D31A4" w:rsidP="001F4209">
            <w:pPr>
              <w:spacing w:after="0"/>
              <w:ind w:left="72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2E0157">
              <w:rPr>
                <w:rFonts w:asciiTheme="majorHAnsi" w:hAnsiTheme="majorHAnsi" w:cstheme="majorHAnsi"/>
              </w:rPr>
              <w:t>Równoważność</w:t>
            </w:r>
            <w:r w:rsidRPr="00833900">
              <w:rPr>
                <w:rFonts w:asciiTheme="majorHAnsi" w:hAnsiTheme="majorHAnsi" w:cstheme="majorHAnsi"/>
                <w:b/>
                <w:bCs/>
              </w:rPr>
              <w:t>:</w:t>
            </w:r>
            <w:r w:rsidRPr="00500E81">
              <w:rPr>
                <w:rFonts w:asciiTheme="majorHAnsi" w:hAnsiTheme="majorHAnsi" w:cstheme="majorHAnsi"/>
              </w:rPr>
              <w:t xml:space="preserve"> Dopuszcza się inne odcienie z palety producenta o zbliżonym nasyceniu i barwie</w:t>
            </w:r>
            <w:r w:rsidR="001F4209">
              <w:rPr>
                <w:rFonts w:asciiTheme="majorHAnsi" w:hAnsiTheme="majorHAnsi" w:cstheme="majorHAnsi"/>
              </w:rPr>
              <w:t>.</w:t>
            </w:r>
          </w:p>
          <w:p w14:paraId="6F1E6515" w14:textId="77777777" w:rsidR="00D500F4" w:rsidRPr="00E64B7D" w:rsidRDefault="00D500F4" w:rsidP="0076508F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</w:rPr>
              <w:lastRenderedPageBreak/>
              <w:t>Sofa powinna spełniać wymagania bezpieczeństwa, wytrzymałości i trwałości dla siedzisk do użytku nie-domowego, w szczególności:</w:t>
            </w:r>
          </w:p>
          <w:p w14:paraId="7C18C00D" w14:textId="77777777" w:rsidR="00D500F4" w:rsidRPr="00E64B7D" w:rsidRDefault="00D500F4">
            <w:pPr>
              <w:numPr>
                <w:ilvl w:val="0"/>
                <w:numId w:val="3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PN-EN 16139</w:t>
            </w:r>
            <w:r w:rsidRPr="00E64B7D">
              <w:rPr>
                <w:rFonts w:asciiTheme="majorHAnsi" w:hAnsiTheme="majorHAnsi" w:cstheme="majorHAnsi"/>
              </w:rPr>
              <w:t xml:space="preserve"> (lub równoważna) – wytrzymałość, trwałość i bezpieczeństwo siedzisk,</w:t>
            </w:r>
          </w:p>
          <w:p w14:paraId="124D0FAF" w14:textId="0AA46B36" w:rsidR="000F1AAC" w:rsidRPr="00B57D1F" w:rsidRDefault="00D500F4">
            <w:pPr>
              <w:numPr>
                <w:ilvl w:val="0"/>
                <w:numId w:val="30"/>
              </w:numPr>
              <w:spacing w:after="0"/>
              <w:rPr>
                <w:rFonts w:asciiTheme="majorHAnsi" w:hAnsiTheme="majorHAnsi" w:cstheme="majorHAnsi"/>
              </w:rPr>
            </w:pPr>
            <w:r w:rsidRPr="00E64B7D">
              <w:rPr>
                <w:rFonts w:asciiTheme="majorHAnsi" w:hAnsiTheme="majorHAnsi" w:cstheme="majorHAnsi"/>
                <w:b/>
                <w:bCs/>
              </w:rPr>
              <w:t>PN-EN 1022</w:t>
            </w:r>
            <w:r w:rsidRPr="00E64B7D">
              <w:rPr>
                <w:rFonts w:asciiTheme="majorHAnsi" w:hAnsiTheme="majorHAnsi" w:cstheme="majorHAnsi"/>
              </w:rPr>
              <w:t xml:space="preserve"> (lub równoważna) – stabilność mebli do siedzenia.</w:t>
            </w:r>
          </w:p>
        </w:tc>
        <w:tc>
          <w:tcPr>
            <w:tcW w:w="4849" w:type="dxa"/>
          </w:tcPr>
          <w:p w14:paraId="4CA5FC2E" w14:textId="2C16827D" w:rsidR="00D500F4" w:rsidRPr="00296E50" w:rsidRDefault="00D500F4" w:rsidP="00D05957">
            <w:pPr>
              <w:spacing w:after="0"/>
              <w:jc w:val="center"/>
              <w:rPr>
                <w:rFonts w:asciiTheme="majorHAnsi" w:hAnsiTheme="majorHAnsi" w:cstheme="majorHAnsi"/>
                <w:noProof/>
              </w:rPr>
            </w:pPr>
            <w:r w:rsidRPr="00296E50">
              <w:rPr>
                <w:rFonts w:asciiTheme="majorHAnsi" w:hAnsiTheme="majorHAnsi" w:cstheme="majorHAnsi"/>
                <w:noProof/>
              </w:rPr>
              <w:lastRenderedPageBreak/>
              <w:drawing>
                <wp:inline distT="0" distB="0" distL="0" distR="0" wp14:anchorId="2686C587" wp14:editId="1DABB338">
                  <wp:extent cx="2941955" cy="2346960"/>
                  <wp:effectExtent l="0" t="0" r="0" b="0"/>
                  <wp:docPr id="136343172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312" cy="234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E7EDE" w14:textId="77777777" w:rsidR="00BD36BF" w:rsidRDefault="00BD36BF" w:rsidP="00D05957">
            <w:pPr>
              <w:jc w:val="center"/>
              <w:rPr>
                <w:rFonts w:asciiTheme="majorHAnsi" w:hAnsiTheme="majorHAnsi" w:cstheme="majorHAnsi"/>
                <w:i/>
                <w:iCs/>
              </w:rPr>
            </w:pPr>
          </w:p>
          <w:p w14:paraId="32B5673E" w14:textId="3EB0C190" w:rsidR="00D500F4" w:rsidRPr="00296E50" w:rsidRDefault="00D500F4" w:rsidP="00D05957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lastRenderedPageBreak/>
              <w:t>*Rysunek ma charakter poglądowy i nie stanowi wskazania producenta. Wymiary wymagane określone są wyłącznie w opisie przedmiotu zamówienia</w:t>
            </w:r>
          </w:p>
        </w:tc>
      </w:tr>
      <w:tr w:rsidR="00CE7BC8" w:rsidRPr="00296E50" w14:paraId="31B3DDB0" w14:textId="77777777" w:rsidTr="00800E68">
        <w:tc>
          <w:tcPr>
            <w:tcW w:w="1696" w:type="dxa"/>
          </w:tcPr>
          <w:p w14:paraId="49990DA2" w14:textId="77777777" w:rsidR="00475323" w:rsidRDefault="00475323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lastRenderedPageBreak/>
              <w:t>p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uf</w:t>
            </w:r>
            <w:r>
              <w:rPr>
                <w:rFonts w:asciiTheme="majorHAnsi" w:hAnsiTheme="majorHAnsi" w:cstheme="majorHAnsi"/>
                <w:b/>
                <w:bCs/>
              </w:rPr>
              <w:t>a/</w:t>
            </w:r>
          </w:p>
          <w:p w14:paraId="4E3C5F65" w14:textId="164F5EF5" w:rsidR="00D500F4" w:rsidRPr="00296E50" w:rsidRDefault="00475323" w:rsidP="00F85DF9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s</w:t>
            </w:r>
            <w:r w:rsidR="00B57D1F" w:rsidRPr="00F85DF9">
              <w:rPr>
                <w:rFonts w:asciiTheme="majorHAnsi" w:hAnsiTheme="majorHAnsi" w:cstheme="majorHAnsi"/>
                <w:b/>
                <w:bCs/>
              </w:rPr>
              <w:t>iedzisk</w:t>
            </w:r>
            <w:r w:rsidR="00B724CF">
              <w:rPr>
                <w:rFonts w:asciiTheme="majorHAnsi" w:hAnsiTheme="majorHAnsi" w:cstheme="majorHAnsi"/>
                <w:b/>
                <w:bCs/>
              </w:rPr>
              <w:t xml:space="preserve">o 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tapicerowa</w:t>
            </w:r>
            <w:r>
              <w:rPr>
                <w:rFonts w:asciiTheme="majorHAnsi" w:hAnsiTheme="majorHAnsi" w:cstheme="majorHAnsi"/>
                <w:b/>
                <w:bCs/>
              </w:rPr>
              <w:t>ne</w:t>
            </w:r>
          </w:p>
        </w:tc>
        <w:tc>
          <w:tcPr>
            <w:tcW w:w="709" w:type="dxa"/>
          </w:tcPr>
          <w:p w14:paraId="7D247257" w14:textId="20B9E442" w:rsidR="00D500F4" w:rsidRPr="00296E50" w:rsidRDefault="003866F7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6349" w:type="dxa"/>
          </w:tcPr>
          <w:p w14:paraId="5239E649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55D8EA76" w14:textId="2B703EDE" w:rsidR="00FD0DAD" w:rsidRPr="00F85DF9" w:rsidRDefault="00F85DF9" w:rsidP="008676CD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 xml:space="preserve">Dostawa, wniesienie, ustawienie oraz przekazanie do użytkowania 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siedziska tapicerowanego typu pufa/moduł</w:t>
            </w:r>
            <w:r w:rsidRPr="00F85DF9">
              <w:rPr>
                <w:rFonts w:asciiTheme="majorHAnsi" w:hAnsiTheme="majorHAnsi" w:cstheme="majorHAnsi"/>
              </w:rPr>
              <w:t xml:space="preserve"> przeznaczonego do stref ogólnodostępnych w szkole (korytarz – kącik wypoczynkowy przy radiowęźle/pod schodami, świetlica, poczekalnia). Mebel przystosowany do intensywnego użytkowania w przestrzeni publicznej, odporny na czyszczenie i dezynfekcję zgodnie z zaleceniami producenta</w:t>
            </w:r>
            <w:r w:rsidR="00ED346E">
              <w:rPr>
                <w:rFonts w:asciiTheme="majorHAnsi" w:hAnsiTheme="majorHAnsi" w:cstheme="majorHAnsi"/>
              </w:rPr>
              <w:t>.</w:t>
            </w:r>
            <w:r w:rsidR="00D6714F">
              <w:rPr>
                <w:rFonts w:asciiTheme="majorHAnsi" w:hAnsiTheme="majorHAnsi" w:cstheme="majorHAnsi"/>
              </w:rPr>
              <w:t xml:space="preserve"> </w:t>
            </w:r>
            <w:r w:rsidRPr="00F85DF9">
              <w:rPr>
                <w:rFonts w:asciiTheme="majorHAnsi" w:hAnsiTheme="majorHAnsi" w:cstheme="majorHAnsi"/>
              </w:rPr>
              <w:t xml:space="preserve">Dopuszcza się rozwiązania 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F85DF9">
              <w:rPr>
                <w:rFonts w:asciiTheme="majorHAnsi" w:hAnsiTheme="majorHAnsi" w:cstheme="majorHAnsi"/>
              </w:rPr>
              <w:t xml:space="preserve">, spełniające </w:t>
            </w:r>
            <w:r w:rsidR="00D6714F">
              <w:rPr>
                <w:rFonts w:asciiTheme="majorHAnsi" w:hAnsiTheme="majorHAnsi" w:cstheme="majorHAnsi"/>
              </w:rPr>
              <w:br/>
            </w:r>
            <w:r w:rsidRPr="00F85DF9">
              <w:rPr>
                <w:rFonts w:asciiTheme="majorHAnsi" w:hAnsiTheme="majorHAnsi" w:cstheme="majorHAnsi"/>
              </w:rPr>
              <w:t>co najmniej wymagania minimalne poniżej.</w:t>
            </w:r>
          </w:p>
          <w:p w14:paraId="69CBA80D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2. Wymagania ogólne</w:t>
            </w:r>
          </w:p>
          <w:p w14:paraId="66CD5D91" w14:textId="6243D38A" w:rsidR="00F85DF9" w:rsidRPr="00FE5631" w:rsidRDefault="00F85DF9">
            <w:pPr>
              <w:pStyle w:val="Akapitzlist"/>
              <w:numPr>
                <w:ilvl w:val="0"/>
                <w:numId w:val="31"/>
              </w:numPr>
              <w:spacing w:after="0"/>
              <w:rPr>
                <w:rFonts w:asciiTheme="majorHAnsi" w:hAnsiTheme="majorHAnsi" w:cstheme="majorHAnsi"/>
              </w:rPr>
            </w:pPr>
            <w:r w:rsidRPr="00FE5631">
              <w:rPr>
                <w:rFonts w:asciiTheme="majorHAnsi" w:hAnsiTheme="majorHAnsi" w:cstheme="majorHAnsi"/>
              </w:rPr>
              <w:t>Konstrukcja stabilna, bez ostrych krawędzi i twardych elementów nieosłoniętych – bezpieczna w użytkowaniu w strefie korytarza.</w:t>
            </w:r>
          </w:p>
          <w:p w14:paraId="6F8B7770" w14:textId="77777777" w:rsidR="00F85DF9" w:rsidRPr="00F85DF9" w:rsidRDefault="00F85DF9">
            <w:pPr>
              <w:numPr>
                <w:ilvl w:val="0"/>
                <w:numId w:val="31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Przeznaczony do użytkowania przez młodzież i osoby dorosłe w przestrzeni publicznej.</w:t>
            </w:r>
          </w:p>
          <w:p w14:paraId="5471F5E1" w14:textId="77777777" w:rsidR="00F85DF9" w:rsidRPr="00F85DF9" w:rsidRDefault="00F85DF9">
            <w:pPr>
              <w:numPr>
                <w:ilvl w:val="0"/>
                <w:numId w:val="31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Tapicerka i wypełnienie odporne na intensywne użytkowanie i częste czyszczenie.</w:t>
            </w:r>
          </w:p>
          <w:p w14:paraId="4E2DE4AA" w14:textId="3476FF81" w:rsidR="0086683E" w:rsidRPr="008E726B" w:rsidRDefault="00F85DF9" w:rsidP="0086683E">
            <w:pPr>
              <w:numPr>
                <w:ilvl w:val="0"/>
                <w:numId w:val="3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Spójność zestawu</w:t>
            </w:r>
            <w:r w:rsidRPr="00F85DF9">
              <w:rPr>
                <w:rFonts w:asciiTheme="majorHAnsi" w:hAnsiTheme="majorHAnsi" w:cstheme="majorHAnsi"/>
              </w:rPr>
              <w:t xml:space="preserve">: pufa będzie ustawiona obok kanapy narożnej i sofy – </w:t>
            </w:r>
            <w:r w:rsidR="008676CD">
              <w:rPr>
                <w:rFonts w:asciiTheme="majorHAnsi" w:hAnsiTheme="majorHAnsi" w:cstheme="majorHAnsi"/>
              </w:rPr>
              <w:t>zamawiający zaleca,</w:t>
            </w:r>
            <w:r w:rsidRPr="00F85DF9">
              <w:rPr>
                <w:rFonts w:asciiTheme="majorHAnsi" w:hAnsiTheme="majorHAnsi" w:cstheme="majorHAnsi"/>
              </w:rPr>
              <w:t xml:space="preserve"> aby była spójna wizualnie (nowoczesna forma, zbliżony charakter tapicerki i kolorystyka). Spójność nie oznacza obowiązku zakupu od jednego producenta.</w:t>
            </w:r>
          </w:p>
          <w:p w14:paraId="0B9ED924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3. Wymagania techniczne</w:t>
            </w:r>
          </w:p>
          <w:p w14:paraId="67FCE5D6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3.1. Tapicerka</w:t>
            </w:r>
          </w:p>
          <w:p w14:paraId="6C0A1F93" w14:textId="77777777" w:rsidR="00F85DF9" w:rsidRDefault="00F85DF9">
            <w:pPr>
              <w:numPr>
                <w:ilvl w:val="0"/>
                <w:numId w:val="32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Ekoskóra PU lub materiał równoważny o parametrach użytkowych nie gorszych.</w:t>
            </w:r>
          </w:p>
          <w:p w14:paraId="419A0DAB" w14:textId="5E6F3F59" w:rsidR="005361E0" w:rsidRDefault="005361E0">
            <w:pPr>
              <w:numPr>
                <w:ilvl w:val="0"/>
                <w:numId w:val="32"/>
              </w:numPr>
              <w:spacing w:after="0"/>
              <w:rPr>
                <w:rFonts w:asciiTheme="majorHAnsi" w:hAnsiTheme="majorHAnsi" w:cstheme="majorHAnsi"/>
              </w:rPr>
            </w:pPr>
            <w:r w:rsidRPr="005361E0">
              <w:rPr>
                <w:rFonts w:asciiTheme="majorHAnsi" w:hAnsiTheme="majorHAnsi" w:cstheme="majorHAnsi"/>
                <w:b/>
                <w:bCs/>
              </w:rPr>
              <w:t>Kolor</w:t>
            </w:r>
            <w:r w:rsidRPr="005361E0">
              <w:rPr>
                <w:rFonts w:asciiTheme="majorHAnsi" w:hAnsiTheme="majorHAnsi" w:cstheme="majorHAnsi"/>
              </w:rPr>
              <w:t xml:space="preserve">: </w:t>
            </w:r>
            <w:r w:rsidRPr="005361E0">
              <w:rPr>
                <w:rFonts w:asciiTheme="majorHAnsi" w:hAnsiTheme="majorHAnsi" w:cstheme="majorHAnsi"/>
                <w:u w:val="single"/>
              </w:rPr>
              <w:t>Kolor limonkowy (zielono-żółty).</w:t>
            </w:r>
            <w:r w:rsidRPr="005361E0">
              <w:rPr>
                <w:rFonts w:asciiTheme="majorHAnsi" w:hAnsiTheme="majorHAnsi" w:cstheme="majorHAnsi"/>
              </w:rPr>
              <w:t xml:space="preserve"> Zamawiający określa kolor bazowy jako odpowiednik RAL 6018 lub NCS S 1070-G60Y.</w:t>
            </w:r>
          </w:p>
          <w:p w14:paraId="4E0B4012" w14:textId="63C9918A" w:rsidR="005361E0" w:rsidRPr="005361E0" w:rsidRDefault="005361E0" w:rsidP="008676CD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5361E0">
              <w:rPr>
                <w:rFonts w:asciiTheme="majorHAnsi" w:hAnsiTheme="majorHAnsi" w:cstheme="majorHAnsi"/>
                <w:b/>
                <w:bCs/>
              </w:rPr>
              <w:lastRenderedPageBreak/>
              <w:t>Równoważność:</w:t>
            </w:r>
            <w:r w:rsidRPr="005361E0">
              <w:rPr>
                <w:rFonts w:asciiTheme="majorHAnsi" w:hAnsiTheme="majorHAnsi" w:cstheme="majorHAnsi"/>
              </w:rPr>
              <w:t xml:space="preserve"> Dopuszcza się inne odcienie z palety producenta o zbliżonym nasyceniu i barwie</w:t>
            </w:r>
            <w:r w:rsidR="001F4209">
              <w:rPr>
                <w:rFonts w:asciiTheme="majorHAnsi" w:hAnsiTheme="majorHAnsi" w:cstheme="majorHAnsi"/>
              </w:rPr>
              <w:t>.</w:t>
            </w:r>
          </w:p>
          <w:p w14:paraId="4634B86C" w14:textId="551ABF19" w:rsidR="0012179B" w:rsidRPr="008676CD" w:rsidRDefault="00F85DF9">
            <w:pPr>
              <w:pStyle w:val="Akapitzlist"/>
              <w:numPr>
                <w:ilvl w:val="0"/>
                <w:numId w:val="3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12179B">
              <w:rPr>
                <w:rFonts w:asciiTheme="majorHAnsi" w:hAnsiTheme="majorHAnsi" w:cstheme="majorHAnsi"/>
              </w:rPr>
              <w:t xml:space="preserve">Materiał łatwoczyszczący, odporny na zabrudzenia; dopuszczone czyszczenie i dezynfekcja standardowymi środkami stosowanymi w placówkach publicznych – </w:t>
            </w:r>
            <w:r w:rsidRPr="0012179B">
              <w:rPr>
                <w:rFonts w:asciiTheme="majorHAnsi" w:hAnsiTheme="majorHAnsi" w:cstheme="majorHAnsi"/>
                <w:b/>
                <w:bCs/>
              </w:rPr>
              <w:t>zgodnie z zaleceniami producenta</w:t>
            </w:r>
            <w:r w:rsidRPr="0012179B">
              <w:rPr>
                <w:rFonts w:asciiTheme="majorHAnsi" w:hAnsiTheme="majorHAnsi" w:cstheme="majorHAnsi"/>
              </w:rPr>
              <w:t>.</w:t>
            </w:r>
          </w:p>
          <w:p w14:paraId="4DF197B6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3.2. Wypełnienie</w:t>
            </w:r>
          </w:p>
          <w:p w14:paraId="48560B5E" w14:textId="77777777" w:rsidR="00F85DF9" w:rsidRPr="00F85DF9" w:rsidRDefault="00F85DF9">
            <w:pPr>
              <w:numPr>
                <w:ilvl w:val="0"/>
                <w:numId w:val="33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Pianka poliuretanowa PUR lub równoważna (np. HR) o trwałości nie gorszej.</w:t>
            </w:r>
          </w:p>
          <w:p w14:paraId="69381C1D" w14:textId="4DFA32D9" w:rsidR="00B162FB" w:rsidRPr="00A95AFC" w:rsidRDefault="00F85DF9">
            <w:pPr>
              <w:numPr>
                <w:ilvl w:val="0"/>
                <w:numId w:val="33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 xml:space="preserve">Parametr minimalny: 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gęstość min. 30 kg/m³</w:t>
            </w:r>
            <w:r w:rsidRPr="00F85DF9">
              <w:rPr>
                <w:rFonts w:asciiTheme="majorHAnsi" w:hAnsiTheme="majorHAnsi" w:cstheme="majorHAnsi"/>
              </w:rPr>
              <w:t>, odporność na trwałe odkształcenia w standardowej eksploatacji.</w:t>
            </w:r>
          </w:p>
          <w:p w14:paraId="77A50E4A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3.3. Konstrukcja / stelaż</w:t>
            </w:r>
          </w:p>
          <w:p w14:paraId="122226CB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Dopuszcza się jedno z poniższych rozwiązań, pod warunkiem zapewnienia stabilności i zachowania kształtu:</w:t>
            </w:r>
          </w:p>
          <w:p w14:paraId="4337019A" w14:textId="77777777" w:rsidR="00F85DF9" w:rsidRPr="00F85DF9" w:rsidRDefault="00F85DF9">
            <w:pPr>
              <w:numPr>
                <w:ilvl w:val="0"/>
                <w:numId w:val="34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stelaż z płyty konstrukcyjnej / sklejki technicznej / profilu stalowego / aluminium (lub równoważny), albo</w:t>
            </w:r>
          </w:p>
          <w:p w14:paraId="30455234" w14:textId="77777777" w:rsidR="00F85DF9" w:rsidRPr="00F85DF9" w:rsidRDefault="00F85DF9">
            <w:pPr>
              <w:numPr>
                <w:ilvl w:val="0"/>
                <w:numId w:val="34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 xml:space="preserve">wykonanie w całości z pianki konstrukcyjnej o gęstości </w:t>
            </w:r>
            <w:r w:rsidRPr="00F85DF9">
              <w:rPr>
                <w:rFonts w:asciiTheme="majorHAnsi" w:hAnsiTheme="majorHAnsi" w:cstheme="majorHAnsi"/>
                <w:b/>
                <w:bCs/>
              </w:rPr>
              <w:t>min. 30 kg/m³</w:t>
            </w:r>
            <w:r w:rsidRPr="00F85DF9">
              <w:rPr>
                <w:rFonts w:asciiTheme="majorHAnsi" w:hAnsiTheme="majorHAnsi" w:cstheme="majorHAnsi"/>
              </w:rPr>
              <w:t xml:space="preserve"> (rozwiązanie równoważne), o ile pufa zachowuje kształt i stabilność podczas użytkowania.</w:t>
            </w:r>
          </w:p>
          <w:p w14:paraId="42A49CDE" w14:textId="5E5B9C90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Wymagane: stopki/podkładki zabezpieczające posadzkę przed zarysowaniem (jeżeli wynikają z konstrukcji).</w:t>
            </w:r>
          </w:p>
          <w:p w14:paraId="4022BD9A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4. Wymiary (zakresy – wymagania minimalne)</w:t>
            </w:r>
          </w:p>
          <w:p w14:paraId="0FD08554" w14:textId="77777777" w:rsidR="00F85DF9" w:rsidRPr="008907C6" w:rsidRDefault="00F85DF9">
            <w:pPr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8907C6">
              <w:rPr>
                <w:rFonts w:asciiTheme="majorHAnsi" w:hAnsiTheme="majorHAnsi" w:cstheme="majorHAnsi"/>
              </w:rPr>
              <w:t>długość/szerokość całkowita: 1400–1600 mm</w:t>
            </w:r>
          </w:p>
          <w:p w14:paraId="4D97ACD3" w14:textId="77777777" w:rsidR="00F85DF9" w:rsidRPr="008907C6" w:rsidRDefault="00F85DF9">
            <w:pPr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8907C6">
              <w:rPr>
                <w:rFonts w:asciiTheme="majorHAnsi" w:hAnsiTheme="majorHAnsi" w:cstheme="majorHAnsi"/>
              </w:rPr>
              <w:t>głębokość: 450–550 mm</w:t>
            </w:r>
          </w:p>
          <w:p w14:paraId="4E25E386" w14:textId="230A1259" w:rsidR="0086683E" w:rsidRPr="008E726B" w:rsidRDefault="00F85DF9" w:rsidP="0086683E">
            <w:pPr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8907C6">
              <w:rPr>
                <w:rFonts w:asciiTheme="majorHAnsi" w:hAnsiTheme="majorHAnsi" w:cstheme="majorHAnsi"/>
              </w:rPr>
              <w:t xml:space="preserve">wysokość siedziska </w:t>
            </w:r>
            <w:r w:rsidR="00870925" w:rsidRPr="008907C6">
              <w:rPr>
                <w:rFonts w:asciiTheme="majorHAnsi" w:hAnsiTheme="majorHAnsi" w:cstheme="majorHAnsi"/>
              </w:rPr>
              <w:t xml:space="preserve">: </w:t>
            </w:r>
            <w:r w:rsidRPr="008907C6">
              <w:rPr>
                <w:rFonts w:asciiTheme="majorHAnsi" w:hAnsiTheme="majorHAnsi" w:cstheme="majorHAnsi"/>
              </w:rPr>
              <w:t>400–460 mm</w:t>
            </w:r>
          </w:p>
          <w:p w14:paraId="50BE43E3" w14:textId="77777777" w:rsidR="00F85DF9" w:rsidRPr="00F85DF9" w:rsidRDefault="00F85DF9" w:rsidP="00F85DF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85DF9">
              <w:rPr>
                <w:rFonts w:asciiTheme="majorHAnsi" w:hAnsiTheme="majorHAnsi" w:cstheme="majorHAnsi"/>
                <w:b/>
                <w:bCs/>
              </w:rPr>
              <w:t>5. Normy i zgodność (lub równoważne)</w:t>
            </w:r>
          </w:p>
          <w:p w14:paraId="2E3F2DE3" w14:textId="77777777" w:rsidR="00F85DF9" w:rsidRPr="008907C6" w:rsidRDefault="00F85DF9">
            <w:pPr>
              <w:numPr>
                <w:ilvl w:val="0"/>
                <w:numId w:val="36"/>
              </w:numPr>
              <w:spacing w:after="0"/>
              <w:rPr>
                <w:rFonts w:asciiTheme="majorHAnsi" w:hAnsiTheme="majorHAnsi" w:cstheme="majorHAnsi"/>
              </w:rPr>
            </w:pPr>
            <w:r w:rsidRPr="008907C6">
              <w:rPr>
                <w:rFonts w:asciiTheme="majorHAnsi" w:hAnsiTheme="majorHAnsi" w:cstheme="majorHAnsi"/>
              </w:rPr>
              <w:t>PN-EN 16139 – meble do siedzenia w środowisku nie-domowym: wytrzymałość, trwałość, bezpieczeństwo (lub równoważna),</w:t>
            </w:r>
          </w:p>
          <w:p w14:paraId="48D02FD0" w14:textId="77777777" w:rsidR="00F85DF9" w:rsidRPr="008907C6" w:rsidRDefault="00F85DF9">
            <w:pPr>
              <w:numPr>
                <w:ilvl w:val="0"/>
                <w:numId w:val="36"/>
              </w:numPr>
              <w:spacing w:after="0"/>
              <w:rPr>
                <w:rFonts w:asciiTheme="majorHAnsi" w:hAnsiTheme="majorHAnsi" w:cstheme="majorHAnsi"/>
              </w:rPr>
            </w:pPr>
            <w:r w:rsidRPr="008907C6">
              <w:rPr>
                <w:rFonts w:asciiTheme="majorHAnsi" w:hAnsiTheme="majorHAnsi" w:cstheme="majorHAnsi"/>
              </w:rPr>
              <w:t>PN-EN 1022 – stabilność mebli do siedzenia (lub równoważna),</w:t>
            </w:r>
          </w:p>
          <w:p w14:paraId="293BB0CC" w14:textId="18859F38" w:rsidR="00D500F4" w:rsidRPr="000F1AAC" w:rsidRDefault="00F85DF9">
            <w:pPr>
              <w:numPr>
                <w:ilvl w:val="0"/>
                <w:numId w:val="36"/>
              </w:numPr>
              <w:spacing w:after="0"/>
              <w:rPr>
                <w:rFonts w:asciiTheme="majorHAnsi" w:hAnsiTheme="majorHAnsi" w:cstheme="majorHAnsi"/>
              </w:rPr>
            </w:pPr>
            <w:r w:rsidRPr="00F85DF9">
              <w:rPr>
                <w:rFonts w:asciiTheme="majorHAnsi" w:hAnsiTheme="majorHAnsi" w:cstheme="majorHAnsi"/>
              </w:rPr>
              <w:t>dla tapicerki (jeżeli dotyczy): PN-EN ISO 12947, EN ISO 105-B02, PN-EN ISO 13936 lub równoważne.</w:t>
            </w:r>
          </w:p>
        </w:tc>
        <w:tc>
          <w:tcPr>
            <w:tcW w:w="4849" w:type="dxa"/>
          </w:tcPr>
          <w:p w14:paraId="2AC9206B" w14:textId="6CA81D92" w:rsidR="00D500F4" w:rsidRPr="00296E50" w:rsidRDefault="00D500F4" w:rsidP="00F85DF9">
            <w:pPr>
              <w:spacing w:after="0"/>
              <w:rPr>
                <w:rFonts w:asciiTheme="majorHAnsi" w:hAnsiTheme="majorHAnsi" w:cstheme="majorHAnsi"/>
              </w:rPr>
            </w:pPr>
          </w:p>
          <w:p w14:paraId="53248580" w14:textId="00106D00" w:rsidR="00CE7BC8" w:rsidRPr="00CE7BC8" w:rsidRDefault="00CE7BC8" w:rsidP="00CE7BC8">
            <w:pPr>
              <w:spacing w:after="0"/>
              <w:jc w:val="center"/>
              <w:rPr>
                <w:rFonts w:asciiTheme="majorHAnsi" w:hAnsiTheme="majorHAnsi" w:cstheme="majorHAnsi"/>
                <w:noProof/>
              </w:rPr>
            </w:pPr>
            <w:r w:rsidRPr="00CE7BC8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154D578D" wp14:editId="3C629C58">
                  <wp:extent cx="2463800" cy="2032000"/>
                  <wp:effectExtent l="0" t="0" r="0" b="6350"/>
                  <wp:docPr id="149888695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0" cy="20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612C1" w14:textId="6A8A5984" w:rsidR="00D500F4" w:rsidRPr="00296E50" w:rsidRDefault="00D500F4" w:rsidP="00F85DF9">
            <w:pPr>
              <w:spacing w:after="0"/>
              <w:jc w:val="center"/>
              <w:rPr>
                <w:rFonts w:asciiTheme="majorHAnsi" w:hAnsiTheme="majorHAnsi" w:cstheme="majorHAnsi"/>
                <w:noProof/>
              </w:rPr>
            </w:pPr>
          </w:p>
          <w:p w14:paraId="7769CA97" w14:textId="77777777" w:rsidR="00D500F4" w:rsidRPr="00296E50" w:rsidRDefault="00D500F4" w:rsidP="00F85DF9">
            <w:pPr>
              <w:spacing w:after="0"/>
              <w:rPr>
                <w:rFonts w:asciiTheme="majorHAnsi" w:hAnsiTheme="majorHAnsi" w:cstheme="majorHAnsi"/>
                <w:noProof/>
              </w:rPr>
            </w:pPr>
          </w:p>
          <w:p w14:paraId="00ED7BD2" w14:textId="548257E6" w:rsidR="00D500F4" w:rsidRPr="00296E50" w:rsidRDefault="00D500F4" w:rsidP="00F85DF9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</w:t>
            </w:r>
          </w:p>
        </w:tc>
      </w:tr>
    </w:tbl>
    <w:p w14:paraId="4D66A289" w14:textId="5A6DADF6" w:rsidR="00F23B3E" w:rsidRPr="00296E50" w:rsidRDefault="00F23B3E" w:rsidP="0086683E">
      <w:pPr>
        <w:pStyle w:val="Nagwek2"/>
        <w:spacing w:before="0"/>
        <w:rPr>
          <w:rFonts w:cstheme="majorHAnsi"/>
          <w:color w:val="auto"/>
        </w:rPr>
      </w:pPr>
    </w:p>
    <w:tbl>
      <w:tblPr>
        <w:tblW w:w="136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850"/>
        <w:gridCol w:w="6379"/>
        <w:gridCol w:w="4819"/>
      </w:tblGrid>
      <w:tr w:rsidR="008D205D" w:rsidRPr="00296E50" w14:paraId="6DDA5701" w14:textId="77777777" w:rsidTr="003442A9">
        <w:trPr>
          <w:trHeight w:val="846"/>
        </w:trPr>
        <w:tc>
          <w:tcPr>
            <w:tcW w:w="1555" w:type="dxa"/>
          </w:tcPr>
          <w:p w14:paraId="20E4647C" w14:textId="04E23F1B" w:rsidR="00F23B3E" w:rsidRPr="00296E50" w:rsidRDefault="006A6280" w:rsidP="00EE4F41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Sofa</w:t>
            </w:r>
            <w:r w:rsidR="00932C15">
              <w:rPr>
                <w:rFonts w:asciiTheme="majorHAnsi" w:hAnsiTheme="majorHAnsi" w:cstheme="majorHAnsi"/>
                <w:b/>
                <w:bCs/>
              </w:rPr>
              <w:t xml:space="preserve"> modułowa</w:t>
            </w:r>
          </w:p>
        </w:tc>
        <w:tc>
          <w:tcPr>
            <w:tcW w:w="850" w:type="dxa"/>
          </w:tcPr>
          <w:p w14:paraId="74EFBA57" w14:textId="56E4B9A9" w:rsidR="00F23B3E" w:rsidRPr="00296E50" w:rsidRDefault="00B9647C" w:rsidP="00EE4F41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 xml:space="preserve">1 </w:t>
            </w:r>
          </w:p>
        </w:tc>
        <w:tc>
          <w:tcPr>
            <w:tcW w:w="6379" w:type="dxa"/>
          </w:tcPr>
          <w:p w14:paraId="4C6B292B" w14:textId="77777777" w:rsidR="00AA20D2" w:rsidRPr="00AA20D2" w:rsidRDefault="00AA20D2" w:rsidP="0015170C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1. Przedmiot zamówienia</w:t>
            </w:r>
            <w:r w:rsidRPr="00AA20D2">
              <w:rPr>
                <w:rFonts w:asciiTheme="majorHAnsi" w:hAnsiTheme="majorHAnsi" w:cstheme="majorHAnsi"/>
              </w:rPr>
              <w:br/>
              <w:t>Dostawa, wniesienie, ustawienie (oraz montaż/połączenie modułów, jeżeli dotyczy) i przekazanie do użytkowania sofy modułowej 3-osobowej przeznaczonej do przestrzeni szkolnych/edukacyjnych, świetlic, bibliotek, stref relaksu lub gabinetów. Mebel przystosowany do intensywnego użytkowania w obiekcie użyteczności publicznej.</w:t>
            </w:r>
            <w:r w:rsidRPr="00AA20D2">
              <w:rPr>
                <w:rFonts w:asciiTheme="majorHAnsi" w:hAnsiTheme="majorHAnsi" w:cstheme="majorHAnsi"/>
              </w:rPr>
              <w:br/>
              <w:t>Dopuszcza się rozwiązania równoważne, tj. spełniające co najmniej wymagania minimalne wskazane poniżej (funkcjonalność, trwałość, bezpieczeństwo, wymiary w zakresach).</w:t>
            </w:r>
          </w:p>
          <w:p w14:paraId="46173AEA" w14:textId="77777777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2. Wymagania ogólne (wymagania minimalne)</w:t>
            </w:r>
          </w:p>
          <w:p w14:paraId="043BEE8A" w14:textId="77777777" w:rsidR="00AA20D2" w:rsidRPr="00AA20D2" w:rsidRDefault="00AA20D2">
            <w:pPr>
              <w:numPr>
                <w:ilvl w:val="0"/>
                <w:numId w:val="38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Sofa stanowi zestaw 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3 fabrycznie nowych modułów</w:t>
            </w:r>
            <w:r w:rsidRPr="00AA20D2">
              <w:rPr>
                <w:rFonts w:asciiTheme="majorHAnsi" w:hAnsiTheme="majorHAnsi" w:cstheme="majorHAnsi"/>
              </w:rPr>
              <w:t>, wolnych od wad, przeznaczonych do intensywnej eksploatacji w przestrzeni publicznej.</w:t>
            </w:r>
          </w:p>
          <w:p w14:paraId="0A3ADB35" w14:textId="10EE2C14" w:rsidR="00AA20D2" w:rsidRPr="00AA20D2" w:rsidRDefault="00AA20D2">
            <w:pPr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Konstrukcja bezpieczna: brak ostrych krawędzi i wystających twardych elementów mogących stanowić zagrożenie; elementy stykające się z posadzką zabezpieczone </w:t>
            </w:r>
            <w:r w:rsidR="00D65ADF">
              <w:rPr>
                <w:rFonts w:asciiTheme="majorHAnsi" w:hAnsiTheme="majorHAnsi" w:cstheme="majorHAnsi"/>
              </w:rPr>
              <w:br/>
            </w:r>
            <w:r w:rsidRPr="00AA20D2">
              <w:rPr>
                <w:rFonts w:asciiTheme="majorHAnsi" w:hAnsiTheme="majorHAnsi" w:cstheme="majorHAnsi"/>
              </w:rPr>
              <w:t>(np. stopki/ślizgi – jeżeli wynikają z konstrukcji).</w:t>
            </w:r>
          </w:p>
          <w:p w14:paraId="0EF84724" w14:textId="0C616F0E" w:rsidR="00AA20D2" w:rsidRPr="00AA20D2" w:rsidRDefault="00AA20D2">
            <w:pPr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>Moduły po zestawieniu muszą tworzyć stabilną sofę 3-osobową, a w standardowym użytkowaniu nie mogą się samoczynnie rozsuwać.</w:t>
            </w:r>
          </w:p>
          <w:p w14:paraId="65CDDD1C" w14:textId="77777777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3. Wymagania techniczne (wymagania minimalne)</w:t>
            </w:r>
            <w:r w:rsidRPr="00AA20D2">
              <w:rPr>
                <w:rFonts w:asciiTheme="majorHAnsi" w:hAnsiTheme="majorHAnsi" w:cstheme="majorHAnsi"/>
              </w:rPr>
              <w:br/>
            </w:r>
            <w:r w:rsidRPr="00AA20D2">
              <w:rPr>
                <w:rFonts w:asciiTheme="majorHAnsi" w:hAnsiTheme="majorHAnsi" w:cstheme="majorHAnsi"/>
                <w:b/>
                <w:bCs/>
              </w:rPr>
              <w:t>3.1. Konfiguracja zestawu (3 moduły)</w:t>
            </w:r>
            <w:r w:rsidRPr="00AA20D2">
              <w:rPr>
                <w:rFonts w:asciiTheme="majorHAnsi" w:hAnsiTheme="majorHAnsi" w:cstheme="majorHAnsi"/>
              </w:rPr>
              <w:br/>
              <w:t>Zestaw musi składać się z 3 modułów, które po zestawieniu tworzą sofę prostą 3-osobową, w szczególności:</w:t>
            </w:r>
            <w:r w:rsidRPr="00AA20D2">
              <w:rPr>
                <w:rFonts w:asciiTheme="majorHAnsi" w:hAnsiTheme="majorHAnsi" w:cstheme="majorHAnsi"/>
              </w:rPr>
              <w:br/>
              <w:t>a) moduł skrajny lewy – z podłokietnikiem/ścianką boczną i oparciem,</w:t>
            </w:r>
            <w:r w:rsidRPr="00AA20D2">
              <w:rPr>
                <w:rFonts w:asciiTheme="majorHAnsi" w:hAnsiTheme="majorHAnsi" w:cstheme="majorHAnsi"/>
              </w:rPr>
              <w:br/>
              <w:t>b) moduł środkowy – bez podłokietników, z oparciem,</w:t>
            </w:r>
            <w:r w:rsidRPr="00AA20D2">
              <w:rPr>
                <w:rFonts w:asciiTheme="majorHAnsi" w:hAnsiTheme="majorHAnsi" w:cstheme="majorHAnsi"/>
              </w:rPr>
              <w:br/>
              <w:t>c) moduł skrajny prawy – z podłokietnikiem/ścianką boczną i oparciem.</w:t>
            </w:r>
          </w:p>
          <w:p w14:paraId="25A85B62" w14:textId="77777777" w:rsidR="00AA20D2" w:rsidRPr="00AA20D2" w:rsidRDefault="00AA20D2" w:rsidP="0015170C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3.2. Łączenie modułów</w:t>
            </w:r>
            <w:r w:rsidRPr="00AA20D2">
              <w:rPr>
                <w:rFonts w:asciiTheme="majorHAnsi" w:hAnsiTheme="majorHAnsi" w:cstheme="majorHAnsi"/>
              </w:rPr>
              <w:br/>
              <w:t>Moduły muszą posiadać system łączenia zapobiegający rozsuwaniu w trakcie użytkowania (np. łączniki, zaczepy, rzepy, taśmy, zamki lub rozwiązanie równoważne), umożliwiający jednocześnie rozłączenie i przestawienie modułów.</w:t>
            </w:r>
          </w:p>
          <w:p w14:paraId="46C67AC5" w14:textId="77777777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lastRenderedPageBreak/>
              <w:t>3.3. Wypełnienie / korpus</w:t>
            </w:r>
            <w:r w:rsidRPr="00AA20D2">
              <w:rPr>
                <w:rFonts w:asciiTheme="majorHAnsi" w:hAnsiTheme="majorHAnsi" w:cstheme="majorHAnsi"/>
              </w:rPr>
              <w:br/>
              <w:t>Wypełnienie z pianki poliuretanowej (PUR) lub materiału równoważnego o parametrach użytkowych nie gorszych. Parametry pianek zgodnie z wymaganiami wspólnymi dla danej Części (w szczególności minimalna gęstość i odporność na trwałe odkształcenia – jeżeli przewidziano w rozdziale wspólnym).</w:t>
            </w:r>
          </w:p>
          <w:p w14:paraId="4760ABEF" w14:textId="0EE3A313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3.4. Pokrycie (tapicerka)</w:t>
            </w:r>
            <w:r w:rsidRPr="00AA20D2">
              <w:rPr>
                <w:rFonts w:asciiTheme="majorHAnsi" w:hAnsiTheme="majorHAnsi" w:cstheme="majorHAnsi"/>
              </w:rPr>
              <w:br/>
            </w:r>
            <w:r w:rsidR="0015170C" w:rsidRPr="0015170C">
              <w:rPr>
                <w:rFonts w:asciiTheme="majorHAnsi" w:hAnsiTheme="majorHAnsi" w:cstheme="majorHAnsi"/>
              </w:rPr>
              <w:t>Materiał obiciowy: ekoskóra PU lub materiał o równoważnych parametrach użytkowych nie gorszych, przeznaczony do intensywnego użytkowania w przestrzeniach publicznych.</w:t>
            </w:r>
            <w:r w:rsidR="0015170C">
              <w:rPr>
                <w:rFonts w:asciiTheme="majorHAnsi" w:hAnsiTheme="majorHAnsi" w:cstheme="majorHAnsi"/>
              </w:rPr>
              <w:t xml:space="preserve"> </w:t>
            </w:r>
            <w:r w:rsidRPr="00AA20D2">
              <w:rPr>
                <w:rFonts w:asciiTheme="majorHAnsi" w:hAnsiTheme="majorHAnsi" w:cstheme="majorHAnsi"/>
              </w:rPr>
              <w:t>Parametry tapicerki zgodnie z wymaganiami wspólnymi dla danej Części (jeżeli przewidziano).</w:t>
            </w:r>
          </w:p>
          <w:p w14:paraId="62B0DDE4" w14:textId="77777777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4. Wymiary (zakresy – wymagania minimalne)</w:t>
            </w:r>
            <w:r w:rsidRPr="00AA20D2">
              <w:rPr>
                <w:rFonts w:asciiTheme="majorHAnsi" w:hAnsiTheme="majorHAnsi" w:cstheme="majorHAnsi"/>
              </w:rPr>
              <w:br/>
            </w:r>
            <w:r w:rsidRPr="00AA20D2">
              <w:rPr>
                <w:rFonts w:asciiTheme="majorHAnsi" w:hAnsiTheme="majorHAnsi" w:cstheme="majorHAnsi"/>
                <w:b/>
                <w:bCs/>
              </w:rPr>
              <w:t>Sofa po zestawieniu 3 modułów:</w:t>
            </w:r>
          </w:p>
          <w:p w14:paraId="363D6D83" w14:textId="77777777" w:rsidR="00AA20D2" w:rsidRPr="00AA20D2" w:rsidRDefault="00AA20D2">
            <w:pPr>
              <w:numPr>
                <w:ilvl w:val="0"/>
                <w:numId w:val="39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długość całkowita: 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210–270 cm</w:t>
            </w:r>
            <w:r w:rsidRPr="00AA20D2">
              <w:rPr>
                <w:rFonts w:asciiTheme="majorHAnsi" w:hAnsiTheme="majorHAnsi" w:cstheme="majorHAnsi"/>
              </w:rPr>
              <w:t>,</w:t>
            </w:r>
          </w:p>
          <w:p w14:paraId="6D9F13D4" w14:textId="77777777" w:rsidR="00AA20D2" w:rsidRPr="00AA20D2" w:rsidRDefault="00AA20D2">
            <w:pPr>
              <w:numPr>
                <w:ilvl w:val="0"/>
                <w:numId w:val="39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głębokość całkowita: 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70–90 cm</w:t>
            </w:r>
            <w:r w:rsidRPr="00AA20D2">
              <w:rPr>
                <w:rFonts w:asciiTheme="majorHAnsi" w:hAnsiTheme="majorHAnsi" w:cstheme="majorHAnsi"/>
              </w:rPr>
              <w:t>,</w:t>
            </w:r>
          </w:p>
          <w:p w14:paraId="0AC892AC" w14:textId="77777777" w:rsidR="00AA20D2" w:rsidRPr="00AA20D2" w:rsidRDefault="00AA20D2">
            <w:pPr>
              <w:numPr>
                <w:ilvl w:val="0"/>
                <w:numId w:val="39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wysokość całkowita: 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60–80 cm</w:t>
            </w:r>
            <w:r w:rsidRPr="00AA20D2">
              <w:rPr>
                <w:rFonts w:asciiTheme="majorHAnsi" w:hAnsiTheme="majorHAnsi" w:cstheme="majorHAnsi"/>
              </w:rPr>
              <w:t>.</w:t>
            </w:r>
          </w:p>
          <w:p w14:paraId="4BAF7E44" w14:textId="77777777" w:rsidR="00AA20D2" w:rsidRPr="00AA20D2" w:rsidRDefault="00AA20D2" w:rsidP="00AA20D2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Pojedynczy moduł (każdy):</w:t>
            </w:r>
          </w:p>
          <w:p w14:paraId="268BCFDF" w14:textId="77777777" w:rsidR="00AA20D2" w:rsidRPr="00AA20D2" w:rsidRDefault="00AA20D2">
            <w:pPr>
              <w:numPr>
                <w:ilvl w:val="0"/>
                <w:numId w:val="40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szerokość modułu: 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70–90 cm</w:t>
            </w:r>
            <w:r w:rsidRPr="00AA20D2">
              <w:rPr>
                <w:rFonts w:asciiTheme="majorHAnsi" w:hAnsiTheme="majorHAnsi" w:cstheme="majorHAnsi"/>
              </w:rPr>
              <w:t>,</w:t>
            </w:r>
          </w:p>
          <w:p w14:paraId="5CB25755" w14:textId="4ECC7D57" w:rsidR="00AA20D2" w:rsidRPr="00AA20D2" w:rsidRDefault="00AA20D2">
            <w:pPr>
              <w:numPr>
                <w:ilvl w:val="0"/>
                <w:numId w:val="40"/>
              </w:num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 xml:space="preserve">wysokość siedziska: </w:t>
            </w:r>
            <w:r w:rsidR="00ED4644">
              <w:rPr>
                <w:rFonts w:asciiTheme="majorHAnsi" w:hAnsiTheme="majorHAnsi" w:cstheme="majorHAnsi"/>
                <w:b/>
                <w:bCs/>
              </w:rPr>
              <w:t>35</w:t>
            </w:r>
            <w:r w:rsidRPr="00AA20D2">
              <w:rPr>
                <w:rFonts w:asciiTheme="majorHAnsi" w:hAnsiTheme="majorHAnsi" w:cstheme="majorHAnsi"/>
                <w:b/>
                <w:bCs/>
              </w:rPr>
              <w:t>–</w:t>
            </w:r>
            <w:r w:rsidR="00ED4644">
              <w:rPr>
                <w:rFonts w:asciiTheme="majorHAnsi" w:hAnsiTheme="majorHAnsi" w:cstheme="majorHAnsi"/>
                <w:b/>
                <w:bCs/>
              </w:rPr>
              <w:t>45</w:t>
            </w:r>
            <w:r w:rsidRPr="00AA20D2">
              <w:rPr>
                <w:rFonts w:asciiTheme="majorHAnsi" w:hAnsiTheme="majorHAnsi" w:cstheme="majorHAnsi"/>
                <w:b/>
                <w:bCs/>
              </w:rPr>
              <w:t xml:space="preserve"> cm</w:t>
            </w:r>
            <w:r w:rsidRPr="00AA20D2">
              <w:rPr>
                <w:rFonts w:asciiTheme="majorHAnsi" w:hAnsiTheme="majorHAnsi" w:cstheme="majorHAnsi"/>
              </w:rPr>
              <w:t>.</w:t>
            </w:r>
          </w:p>
          <w:p w14:paraId="5B4BCFF5" w14:textId="322541F5" w:rsidR="00B724CF" w:rsidRPr="00AA20D2" w:rsidRDefault="00AA20D2" w:rsidP="00ED4644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</w:rPr>
              <w:t>Dopuszcza się tolerancje produkcyjne oraz rozwiązania konstrukcyjne mieszczące się w powyższych zakresach, pod warunkiem zachowania funkcjonalności i stabilności.</w:t>
            </w:r>
          </w:p>
          <w:p w14:paraId="7130B1CB" w14:textId="7AEEF0B3" w:rsidR="00BB008F" w:rsidRPr="008E726B" w:rsidRDefault="00AA20D2" w:rsidP="008E726B">
            <w:pPr>
              <w:pStyle w:val="Akapitzlist"/>
              <w:numPr>
                <w:ilvl w:val="0"/>
                <w:numId w:val="42"/>
              </w:numPr>
              <w:tabs>
                <w:tab w:val="clear" w:pos="360"/>
                <w:tab w:val="num" w:pos="14"/>
              </w:tabs>
              <w:spacing w:after="0"/>
              <w:rPr>
                <w:rFonts w:asciiTheme="majorHAnsi" w:hAnsiTheme="majorHAnsi" w:cstheme="majorHAnsi"/>
              </w:rPr>
            </w:pPr>
            <w:r w:rsidRPr="0013489D">
              <w:rPr>
                <w:rFonts w:asciiTheme="majorHAnsi" w:hAnsiTheme="majorHAnsi" w:cstheme="majorHAnsi"/>
                <w:b/>
                <w:bCs/>
              </w:rPr>
              <w:t>Kolorystyka</w:t>
            </w:r>
            <w:r w:rsidR="00ED4644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13489D">
              <w:rPr>
                <w:rFonts w:asciiTheme="majorHAnsi" w:hAnsiTheme="majorHAnsi" w:cstheme="majorHAnsi"/>
              </w:rPr>
              <w:br/>
            </w:r>
            <w:r w:rsidR="005361E0" w:rsidRPr="00ED4644">
              <w:rPr>
                <w:rFonts w:asciiTheme="majorHAnsi" w:hAnsiTheme="majorHAnsi" w:cstheme="majorHAnsi"/>
              </w:rPr>
              <w:t xml:space="preserve">1. </w:t>
            </w:r>
            <w:r w:rsidRPr="00ED4644">
              <w:rPr>
                <w:rFonts w:asciiTheme="majorHAnsi" w:hAnsiTheme="majorHAnsi" w:cstheme="majorHAnsi"/>
              </w:rPr>
              <w:t>Kolorystyka</w:t>
            </w:r>
            <w:r w:rsidR="00ED346E" w:rsidRPr="00ED4644">
              <w:rPr>
                <w:rFonts w:asciiTheme="majorHAnsi" w:hAnsiTheme="majorHAnsi" w:cstheme="majorHAnsi"/>
              </w:rPr>
              <w:t xml:space="preserve">: </w:t>
            </w:r>
            <w:r w:rsidRPr="00ED4644">
              <w:rPr>
                <w:rFonts w:asciiTheme="majorHAnsi" w:hAnsiTheme="majorHAnsi" w:cstheme="majorHAnsi"/>
              </w:rPr>
              <w:t>wykonanie dwukolorowe</w:t>
            </w:r>
            <w:r w:rsidR="005361E0" w:rsidRPr="00ED4644">
              <w:rPr>
                <w:rFonts w:asciiTheme="majorHAnsi" w:hAnsiTheme="majorHAnsi" w:cstheme="majorHAnsi"/>
              </w:rPr>
              <w:t>.</w:t>
            </w:r>
            <w:r w:rsidR="00ED4644" w:rsidRPr="00ED4644">
              <w:rPr>
                <w:rFonts w:asciiTheme="majorHAnsi" w:hAnsiTheme="majorHAnsi" w:cstheme="majorHAnsi"/>
              </w:rPr>
              <w:t xml:space="preserve"> (2 moduły niebieskie, 1 moduł limonka)</w:t>
            </w:r>
          </w:p>
          <w:p w14:paraId="7179B815" w14:textId="33E34E43" w:rsidR="0013489D" w:rsidRPr="00B162FB" w:rsidRDefault="0013489D" w:rsidP="0013489D">
            <w:pPr>
              <w:spacing w:after="0"/>
              <w:rPr>
                <w:rFonts w:asciiTheme="majorHAnsi" w:hAnsiTheme="majorHAnsi" w:cstheme="majorHAnsi"/>
                <w:u w:val="single"/>
              </w:rPr>
            </w:pPr>
            <w:r w:rsidRPr="00B162FB">
              <w:rPr>
                <w:rFonts w:asciiTheme="majorHAnsi" w:hAnsiTheme="majorHAnsi" w:cstheme="majorHAnsi"/>
                <w:b/>
                <w:bCs/>
                <w:u w:val="single"/>
              </w:rPr>
              <w:t xml:space="preserve">Kolor </w:t>
            </w:r>
            <w:r w:rsidR="0073347D">
              <w:rPr>
                <w:rFonts w:asciiTheme="majorHAnsi" w:hAnsiTheme="majorHAnsi" w:cstheme="majorHAnsi"/>
                <w:b/>
                <w:bCs/>
                <w:u w:val="single"/>
              </w:rPr>
              <w:t>1</w:t>
            </w:r>
            <w:r w:rsidRPr="00B162FB">
              <w:rPr>
                <w:rFonts w:asciiTheme="majorHAnsi" w:hAnsiTheme="majorHAnsi" w:cstheme="majorHAnsi"/>
                <w:b/>
                <w:bCs/>
                <w:u w:val="single"/>
              </w:rPr>
              <w:t>: Granatowy (ciemnoniebieski</w:t>
            </w:r>
            <w:r w:rsidRPr="00B162FB">
              <w:rPr>
                <w:rFonts w:asciiTheme="majorHAnsi" w:hAnsiTheme="majorHAnsi" w:cstheme="majorHAnsi"/>
                <w:u w:val="single"/>
              </w:rPr>
              <w:t>).</w:t>
            </w:r>
          </w:p>
          <w:p w14:paraId="3A77B8AE" w14:textId="7421A8A6" w:rsidR="00D65ADF" w:rsidRDefault="0013489D" w:rsidP="0073347D">
            <w:pPr>
              <w:spacing w:after="0"/>
              <w:rPr>
                <w:rFonts w:asciiTheme="majorHAnsi" w:hAnsiTheme="majorHAnsi" w:cstheme="majorHAnsi"/>
                <w:b/>
                <w:bCs/>
                <w:u w:val="single"/>
              </w:rPr>
            </w:pPr>
            <w:r w:rsidRPr="0013489D">
              <w:rPr>
                <w:rFonts w:asciiTheme="majorHAnsi" w:hAnsiTheme="majorHAnsi" w:cstheme="majorHAnsi"/>
              </w:rPr>
              <w:t xml:space="preserve">Zamawiający określa odcień bazowy jako odpowiednik </w:t>
            </w:r>
            <w:r w:rsidRPr="0013489D">
              <w:rPr>
                <w:rFonts w:asciiTheme="majorHAnsi" w:hAnsiTheme="majorHAnsi" w:cstheme="majorHAnsi"/>
                <w:b/>
                <w:bCs/>
              </w:rPr>
              <w:t>RAL 5003</w:t>
            </w:r>
            <w:r w:rsidRPr="0013489D">
              <w:rPr>
                <w:rFonts w:asciiTheme="majorHAnsi" w:hAnsiTheme="majorHAnsi" w:cstheme="majorHAnsi"/>
              </w:rPr>
              <w:t xml:space="preserve"> lub </w:t>
            </w:r>
            <w:r w:rsidRPr="0013489D">
              <w:rPr>
                <w:rFonts w:asciiTheme="majorHAnsi" w:hAnsiTheme="majorHAnsi" w:cstheme="majorHAnsi"/>
                <w:b/>
                <w:bCs/>
              </w:rPr>
              <w:t>NCS S 7020-R90B</w:t>
            </w:r>
            <w:r w:rsidRPr="0013489D">
              <w:rPr>
                <w:rFonts w:asciiTheme="majorHAnsi" w:hAnsiTheme="majorHAnsi" w:cstheme="majorHAnsi"/>
              </w:rPr>
              <w:t xml:space="preserve"> (lub równoważny).</w:t>
            </w:r>
            <w:r w:rsidR="0073347D" w:rsidRPr="00ED4644">
              <w:rPr>
                <w:rFonts w:asciiTheme="majorHAnsi" w:hAnsiTheme="majorHAnsi" w:cstheme="majorHAnsi"/>
                <w:b/>
                <w:bCs/>
                <w:u w:val="single"/>
              </w:rPr>
              <w:t xml:space="preserve"> </w:t>
            </w:r>
          </w:p>
          <w:p w14:paraId="6707D501" w14:textId="300069F7" w:rsidR="0073347D" w:rsidRPr="00ED4644" w:rsidRDefault="0073347D" w:rsidP="0073347D">
            <w:pPr>
              <w:spacing w:after="0"/>
              <w:rPr>
                <w:rFonts w:asciiTheme="majorHAnsi" w:hAnsiTheme="majorHAnsi" w:cstheme="majorHAnsi"/>
              </w:rPr>
            </w:pPr>
            <w:r w:rsidRPr="00ED4644">
              <w:rPr>
                <w:rFonts w:asciiTheme="majorHAnsi" w:hAnsiTheme="majorHAnsi" w:cstheme="majorHAnsi"/>
                <w:b/>
                <w:bCs/>
                <w:u w:val="single"/>
              </w:rPr>
              <w:t xml:space="preserve">Kolor </w:t>
            </w:r>
            <w:r>
              <w:rPr>
                <w:rFonts w:asciiTheme="majorHAnsi" w:hAnsiTheme="majorHAnsi" w:cstheme="majorHAnsi"/>
                <w:b/>
                <w:bCs/>
                <w:u w:val="single"/>
              </w:rPr>
              <w:t>2</w:t>
            </w:r>
            <w:r w:rsidRPr="00ED4644">
              <w:rPr>
                <w:rFonts w:asciiTheme="majorHAnsi" w:hAnsiTheme="majorHAnsi" w:cstheme="majorHAnsi"/>
                <w:b/>
                <w:bCs/>
                <w:u w:val="single"/>
              </w:rPr>
              <w:t>: limonkowy (zielono-żółty</w:t>
            </w:r>
            <w:r w:rsidRPr="00ED4644">
              <w:rPr>
                <w:rFonts w:asciiTheme="majorHAnsi" w:hAnsiTheme="majorHAnsi" w:cstheme="majorHAnsi"/>
                <w:u w:val="single"/>
              </w:rPr>
              <w:t>).</w:t>
            </w:r>
            <w:r w:rsidRPr="00ED4644">
              <w:rPr>
                <w:rFonts w:asciiTheme="majorHAnsi" w:hAnsiTheme="majorHAnsi" w:cstheme="majorHAnsi"/>
              </w:rPr>
              <w:t xml:space="preserve"> </w:t>
            </w:r>
          </w:p>
          <w:p w14:paraId="6597F9B5" w14:textId="39248C46" w:rsidR="0013489D" w:rsidRPr="0013489D" w:rsidRDefault="0073347D" w:rsidP="0073347D">
            <w:pPr>
              <w:tabs>
                <w:tab w:val="num" w:pos="14"/>
              </w:tabs>
              <w:spacing w:after="0"/>
              <w:rPr>
                <w:rFonts w:asciiTheme="majorHAnsi" w:hAnsiTheme="majorHAnsi" w:cstheme="majorHAnsi"/>
              </w:rPr>
            </w:pPr>
            <w:r w:rsidRPr="00ED4644">
              <w:rPr>
                <w:rFonts w:asciiTheme="majorHAnsi" w:hAnsiTheme="majorHAnsi" w:cstheme="majorHAnsi"/>
              </w:rPr>
              <w:t>Zamawiający określa kolor bazowy jako odpowiednik RAL 6018 lub NCS S 1070-G60Y.</w:t>
            </w:r>
          </w:p>
          <w:p w14:paraId="1D2F76B2" w14:textId="115804D8" w:rsidR="00D24198" w:rsidRDefault="00D24198" w:rsidP="00D24198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24198">
              <w:rPr>
                <w:rFonts w:asciiTheme="majorHAnsi" w:hAnsiTheme="majorHAnsi" w:cstheme="majorHAnsi"/>
                <w:u w:val="single"/>
              </w:rPr>
              <w:t>Równoważność</w:t>
            </w:r>
            <w:r w:rsidRPr="00D24198">
              <w:rPr>
                <w:rFonts w:asciiTheme="majorHAnsi" w:hAnsiTheme="majorHAnsi" w:cstheme="majorHAnsi"/>
                <w:b/>
                <w:bCs/>
                <w:u w:val="single"/>
              </w:rPr>
              <w:t>:</w:t>
            </w:r>
            <w:r w:rsidRPr="005361E0">
              <w:rPr>
                <w:rFonts w:asciiTheme="majorHAnsi" w:hAnsiTheme="majorHAnsi" w:cstheme="majorHAnsi"/>
              </w:rPr>
              <w:t xml:space="preserve"> Dopuszcza się odcienie z palety producenta o zbliżonym nasyceniu i barwie</w:t>
            </w:r>
            <w:r w:rsidR="001F4209">
              <w:rPr>
                <w:rFonts w:asciiTheme="majorHAnsi" w:hAnsiTheme="majorHAnsi" w:cstheme="majorHAnsi"/>
              </w:rPr>
              <w:t>.</w:t>
            </w:r>
          </w:p>
          <w:p w14:paraId="12CD6414" w14:textId="65237AEB" w:rsidR="0044695E" w:rsidRPr="00AA20D2" w:rsidRDefault="00AA20D2" w:rsidP="0015170C">
            <w:pPr>
              <w:spacing w:after="0"/>
              <w:rPr>
                <w:rFonts w:asciiTheme="majorHAnsi" w:hAnsiTheme="majorHAnsi" w:cstheme="majorHAnsi"/>
              </w:rPr>
            </w:pPr>
            <w:r w:rsidRPr="00AA20D2">
              <w:rPr>
                <w:rFonts w:asciiTheme="majorHAnsi" w:hAnsiTheme="majorHAnsi" w:cstheme="majorHAnsi"/>
                <w:b/>
                <w:bCs/>
              </w:rPr>
              <w:t>6. Normy</w:t>
            </w:r>
            <w:r w:rsidR="0015170C">
              <w:rPr>
                <w:rFonts w:asciiTheme="majorHAnsi" w:hAnsiTheme="majorHAnsi" w:cstheme="majorHAnsi"/>
                <w:b/>
                <w:bCs/>
              </w:rPr>
              <w:t>:</w:t>
            </w:r>
            <w:r w:rsidRPr="00AA20D2">
              <w:rPr>
                <w:rFonts w:asciiTheme="majorHAnsi" w:hAnsiTheme="majorHAnsi" w:cstheme="majorHAnsi"/>
              </w:rPr>
              <w:br/>
            </w:r>
            <w:r w:rsidR="0015170C" w:rsidRPr="0015170C">
              <w:rPr>
                <w:rFonts w:asciiTheme="majorHAnsi" w:hAnsiTheme="majorHAnsi" w:cstheme="majorHAnsi"/>
              </w:rPr>
              <w:t xml:space="preserve">Sofa musi spełniać wymagania następujących norm (jeżeli mają </w:t>
            </w:r>
            <w:r w:rsidR="0015170C" w:rsidRPr="0015170C">
              <w:rPr>
                <w:rFonts w:asciiTheme="majorHAnsi" w:hAnsiTheme="majorHAnsi" w:cstheme="majorHAnsi"/>
              </w:rPr>
              <w:lastRenderedPageBreak/>
              <w:t>zastosowanie), lub norm równoważnych:</w:t>
            </w:r>
            <w:r w:rsidR="0015170C" w:rsidRPr="0015170C">
              <w:rPr>
                <w:rFonts w:asciiTheme="majorHAnsi" w:hAnsiTheme="majorHAnsi" w:cstheme="majorHAnsi"/>
              </w:rPr>
              <w:br/>
              <w:t>• PN-EN 16139 – meble do użytku nie-domowego: wytrzymałość, trwałość i bezpieczeństwo,</w:t>
            </w:r>
            <w:r w:rsidR="0015170C" w:rsidRPr="0015170C">
              <w:rPr>
                <w:rFonts w:asciiTheme="majorHAnsi" w:hAnsiTheme="majorHAnsi" w:cstheme="majorHAnsi"/>
              </w:rPr>
              <w:br/>
              <w:t>• PN-EN 1022 – stabilność mebli do siedzenia,</w:t>
            </w:r>
            <w:r w:rsidR="0015170C" w:rsidRPr="0015170C">
              <w:rPr>
                <w:rFonts w:asciiTheme="majorHAnsi" w:hAnsiTheme="majorHAnsi" w:cstheme="majorHAnsi"/>
              </w:rPr>
              <w:br/>
              <w:t>• PN-EN ISO 12947 – odporność materiałów na ścieranie (Martindale) – jeżeli dotyczy tapicerki,</w:t>
            </w:r>
            <w:r w:rsidR="0015170C" w:rsidRPr="0015170C">
              <w:rPr>
                <w:rFonts w:asciiTheme="majorHAnsi" w:hAnsiTheme="majorHAnsi" w:cstheme="majorHAnsi"/>
              </w:rPr>
              <w:br/>
              <w:t>• PN-EN ISO 105-B02 – odporność koloru na światło – jeżeli dotyczy tapicerki,</w:t>
            </w:r>
            <w:r w:rsidR="0015170C" w:rsidRPr="0015170C">
              <w:rPr>
                <w:rFonts w:asciiTheme="majorHAnsi" w:hAnsiTheme="majorHAnsi" w:cstheme="majorHAnsi"/>
              </w:rPr>
              <w:br/>
              <w:t>• PN-EN ISO 13936 – wytrzymałość szwów – jeżeli dotyczy tapicerki.</w:t>
            </w:r>
          </w:p>
        </w:tc>
        <w:tc>
          <w:tcPr>
            <w:tcW w:w="4819" w:type="dxa"/>
          </w:tcPr>
          <w:p w14:paraId="452446EC" w14:textId="3D86A5FD" w:rsidR="0084402F" w:rsidRPr="00296E50" w:rsidRDefault="00B9647C" w:rsidP="0086683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noProof/>
              </w:rPr>
              <w:lastRenderedPageBreak/>
              <mc:AlternateContent>
                <mc:Choice Requires="wps">
                  <w:drawing>
                    <wp:inline distT="0" distB="0" distL="0" distR="0" wp14:anchorId="3050BC7A" wp14:editId="245B7248">
                      <wp:extent cx="304800" cy="304800"/>
                      <wp:effectExtent l="0" t="0" r="0" b="0"/>
                      <wp:docPr id="1962753577" name="AutoShap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25B57CB"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6B1D64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647CDAB0" wp14:editId="633172CA">
                  <wp:extent cx="2237740" cy="1493253"/>
                  <wp:effectExtent l="0" t="0" r="0" b="0"/>
                  <wp:docPr id="127855852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734" cy="150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B1D64" w:rsidRPr="006B1D64">
              <w:rPr>
                <w:rFonts w:asciiTheme="majorHAnsi" w:hAnsiTheme="majorHAnsi" w:cstheme="majorHAnsi"/>
                <w:noProof/>
              </w:rPr>
              <mc:AlternateContent>
                <mc:Choice Requires="wps">
                  <w:drawing>
                    <wp:inline distT="0" distB="0" distL="0" distR="0" wp14:anchorId="3BA1DFC2" wp14:editId="3CFF2AFB">
                      <wp:extent cx="304800" cy="304800"/>
                      <wp:effectExtent l="0" t="0" r="0" b="0"/>
                      <wp:docPr id="1655374255" name="Prostokąt 3" descr="Wygenerowany obraz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350C20C" id="Prostokąt 3" o:spid="_x0000_s1026" alt="Wygenerowany obraz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1BC19E15" w14:textId="00501C50" w:rsidR="008D205D" w:rsidRPr="00296E50" w:rsidRDefault="00D50A57" w:rsidP="0086683E">
            <w:pPr>
              <w:tabs>
                <w:tab w:val="left" w:pos="1860"/>
              </w:tabs>
              <w:spacing w:after="0"/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 Rysunek ma charakter poglądowy i nie stanowi wskazania producenta. Wymiary wymagane określone są wyłącznie w opisie przedmiotu zamówieni</w:t>
            </w:r>
          </w:p>
        </w:tc>
      </w:tr>
      <w:tr w:rsidR="008D205D" w:rsidRPr="00296E50" w14:paraId="3187BD41" w14:textId="77777777" w:rsidTr="003442A9">
        <w:trPr>
          <w:trHeight w:val="557"/>
        </w:trPr>
        <w:tc>
          <w:tcPr>
            <w:tcW w:w="1555" w:type="dxa"/>
          </w:tcPr>
          <w:p w14:paraId="6C48B739" w14:textId="7F7F1B76" w:rsidR="0084402F" w:rsidRPr="00296E50" w:rsidRDefault="0084402F" w:rsidP="0073044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lastRenderedPageBreak/>
              <w:t>Sofa</w:t>
            </w:r>
            <w:r w:rsidR="00B9647C" w:rsidRPr="00296E50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</w:tc>
        <w:tc>
          <w:tcPr>
            <w:tcW w:w="850" w:type="dxa"/>
          </w:tcPr>
          <w:p w14:paraId="3CA9FB45" w14:textId="1938F290" w:rsidR="0084402F" w:rsidRPr="00296E50" w:rsidRDefault="00777992" w:rsidP="00730449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</w:t>
            </w:r>
            <w:r w:rsidR="00B9647C" w:rsidRPr="00296E50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</w:tc>
        <w:tc>
          <w:tcPr>
            <w:tcW w:w="6379" w:type="dxa"/>
          </w:tcPr>
          <w:p w14:paraId="7C3B2111" w14:textId="77777777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43CA004E" w14:textId="66EBACD2" w:rsidR="009D6894" w:rsidRPr="009D6894" w:rsidRDefault="009D6894" w:rsidP="00AA20D2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Przedmiotem zamówienia jest dostawa, wniesienie do wskazanego pomieszczenia, ustawienie oraz przekazanie do użytkowania sofy trzyosobowej przeznaczonej do stref wypoczynkowych, poczekalni, recepcji, holi, gabinetów oraz innych pomieszczeń ogólnodostępnych w obiekcie użyteczności publicznej(szkoła).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Pr="009D6894">
              <w:rPr>
                <w:rFonts w:asciiTheme="majorHAnsi" w:hAnsiTheme="majorHAnsi" w:cstheme="majorHAnsi"/>
              </w:rPr>
              <w:t>Sofa przystosowana do intensywnego użytkowania.</w:t>
            </w:r>
          </w:p>
          <w:p w14:paraId="0E4AABE3" w14:textId="77777777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2. Wymagania ogólne (wymagania minimalne)</w:t>
            </w:r>
          </w:p>
          <w:p w14:paraId="61B0D8F6" w14:textId="77777777" w:rsidR="009D6894" w:rsidRPr="009D6894" w:rsidRDefault="009D6894">
            <w:pPr>
              <w:numPr>
                <w:ilvl w:val="0"/>
                <w:numId w:val="37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Sofa fabrycznie nowa, wolna od wad, kompletna, dostarczona w stanie gotowym do użytkowania.</w:t>
            </w:r>
          </w:p>
          <w:p w14:paraId="588049BB" w14:textId="77777777" w:rsidR="009D6894" w:rsidRPr="009D6894" w:rsidRDefault="009D6894">
            <w:pPr>
              <w:numPr>
                <w:ilvl w:val="0"/>
                <w:numId w:val="37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Konstrukcja bez ostrych krawędzi i elementów mogących stwarzać zagrożenie.</w:t>
            </w:r>
          </w:p>
          <w:p w14:paraId="4C996825" w14:textId="77777777" w:rsidR="009D6894" w:rsidRPr="009D6894" w:rsidRDefault="009D6894">
            <w:pPr>
              <w:numPr>
                <w:ilvl w:val="0"/>
                <w:numId w:val="37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Tapicerka oraz materiały konstrukcyjne przystosowane do intensywnej eksploatacji w przestrzeni publicznej oraz łatwe do utrzymania w czystości.</w:t>
            </w:r>
          </w:p>
          <w:p w14:paraId="343D2BC8" w14:textId="77777777" w:rsidR="009D6894" w:rsidRPr="009D6894" w:rsidRDefault="009D6894">
            <w:pPr>
              <w:numPr>
                <w:ilvl w:val="0"/>
                <w:numId w:val="37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Sofa wyposażona w podłokietniki.</w:t>
            </w:r>
          </w:p>
          <w:p w14:paraId="29C5776B" w14:textId="77777777" w:rsidR="009D6894" w:rsidRPr="009D6894" w:rsidRDefault="009D6894">
            <w:pPr>
              <w:numPr>
                <w:ilvl w:val="0"/>
                <w:numId w:val="37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Elementy stykające się z podłożem zabezpieczone przed rysowaniem posadzki (np. stopki/podkładki).</w:t>
            </w:r>
          </w:p>
          <w:p w14:paraId="1782FC98" w14:textId="77777777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3. Tapicerka (wymagania minimalne)</w:t>
            </w:r>
          </w:p>
          <w:p w14:paraId="172119F4" w14:textId="5A7F2053" w:rsidR="009D6894" w:rsidRDefault="009D6894">
            <w:pPr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Materiał obiciowy: ekoskóra PU lub materiał </w:t>
            </w:r>
            <w:r w:rsidR="005D31A4">
              <w:rPr>
                <w:rFonts w:asciiTheme="majorHAnsi" w:hAnsiTheme="majorHAnsi" w:cstheme="majorHAnsi"/>
              </w:rPr>
              <w:br/>
            </w:r>
            <w:r w:rsidRPr="009D6894">
              <w:rPr>
                <w:rFonts w:asciiTheme="majorHAnsi" w:hAnsiTheme="majorHAnsi" w:cstheme="majorHAnsi"/>
              </w:rPr>
              <w:t>o równoważnych parametrach użytkowych nie gorszych, przeznaczony do intensywnego użytkowania w przestrzeniach publicznych.</w:t>
            </w:r>
          </w:p>
          <w:p w14:paraId="139D0B47" w14:textId="5E8D1CC5" w:rsidR="005D31A4" w:rsidRPr="005D31A4" w:rsidRDefault="005D31A4">
            <w:pPr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5D31A4">
              <w:rPr>
                <w:rFonts w:asciiTheme="majorHAnsi" w:hAnsiTheme="majorHAnsi" w:cstheme="majorHAnsi"/>
                <w:b/>
                <w:bCs/>
                <w:u w:val="single"/>
              </w:rPr>
              <w:t>Kolor: limonkowy (zielono-żółty</w:t>
            </w:r>
            <w:r w:rsidRPr="005D31A4">
              <w:rPr>
                <w:rFonts w:asciiTheme="majorHAnsi" w:hAnsiTheme="majorHAnsi" w:cstheme="majorHAnsi"/>
                <w:u w:val="single"/>
              </w:rPr>
              <w:t>).</w:t>
            </w:r>
            <w:r w:rsidRPr="005D31A4">
              <w:rPr>
                <w:rFonts w:asciiTheme="majorHAnsi" w:hAnsiTheme="majorHAnsi" w:cstheme="majorHAnsi"/>
              </w:rPr>
              <w:t xml:space="preserve"> Zamawiający określa kolor bazowy jako odpowiednik RAL 6018 lub NCS S 1070-G60Y.</w:t>
            </w:r>
          </w:p>
          <w:p w14:paraId="0E328689" w14:textId="77777777" w:rsidR="009D6894" w:rsidRDefault="009D6894">
            <w:pPr>
              <w:numPr>
                <w:ilvl w:val="0"/>
                <w:numId w:val="43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Tapicerka równomiernie napięta, bez fałd i deformacji w standardowym użytkowaniu.</w:t>
            </w:r>
          </w:p>
          <w:p w14:paraId="343C1333" w14:textId="5A92E8E8" w:rsidR="005D31A4" w:rsidRPr="005D31A4" w:rsidRDefault="005D31A4">
            <w:pPr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5D31A4">
              <w:rPr>
                <w:rFonts w:asciiTheme="majorHAnsi" w:hAnsiTheme="majorHAnsi" w:cstheme="majorHAnsi"/>
                <w:u w:val="single"/>
              </w:rPr>
              <w:lastRenderedPageBreak/>
              <w:t>Równoważność</w:t>
            </w:r>
            <w:r w:rsidRPr="005D31A4">
              <w:rPr>
                <w:rFonts w:asciiTheme="majorHAnsi" w:hAnsiTheme="majorHAnsi" w:cstheme="majorHAnsi"/>
                <w:b/>
                <w:bCs/>
                <w:u w:val="single"/>
              </w:rPr>
              <w:t>:</w:t>
            </w:r>
            <w:r w:rsidRPr="005D31A4">
              <w:rPr>
                <w:rFonts w:asciiTheme="majorHAnsi" w:hAnsiTheme="majorHAnsi" w:cstheme="majorHAnsi"/>
              </w:rPr>
              <w:t xml:space="preserve"> Dopuszcza się odcienie z palety producenta o zbliżonym nasyceniu i barwie</w:t>
            </w:r>
            <w:r w:rsidR="001F4209">
              <w:rPr>
                <w:rFonts w:asciiTheme="majorHAnsi" w:hAnsiTheme="majorHAnsi" w:cstheme="majorHAnsi"/>
              </w:rPr>
              <w:t>.</w:t>
            </w:r>
          </w:p>
          <w:p w14:paraId="435FF156" w14:textId="77777777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4. Konstrukcja (wymagania minimalne)</w:t>
            </w:r>
          </w:p>
          <w:p w14:paraId="52BA5997" w14:textId="77777777" w:rsidR="009D6894" w:rsidRPr="009D6894" w:rsidRDefault="009D6894">
            <w:pPr>
              <w:numPr>
                <w:ilvl w:val="0"/>
                <w:numId w:val="44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Stelaż wykonany z metalu i/lub litego drewna i/lub sklejki – zapewniający trwałość i stabilność w warunkach intensywnej eksploatacji.</w:t>
            </w:r>
          </w:p>
          <w:p w14:paraId="520BDE88" w14:textId="77777777" w:rsidR="009D6894" w:rsidRPr="009D6894" w:rsidRDefault="009D6894">
            <w:pPr>
              <w:numPr>
                <w:ilvl w:val="0"/>
                <w:numId w:val="44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Siedzisko oparte na sprężynach stalowych lub rozwiązaniu równoważnym (np. sprężyny faliste, pasy tapicerskie wzmocnione), zapewniającym komfort i trwałość.</w:t>
            </w:r>
          </w:p>
          <w:p w14:paraId="2C64D7BB" w14:textId="77777777" w:rsidR="009D6894" w:rsidRPr="009D6894" w:rsidRDefault="009D6894">
            <w:pPr>
              <w:numPr>
                <w:ilvl w:val="0"/>
                <w:numId w:val="44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Podstawa/nogi: metalowe lub inne trwałe; wykończenie chromowane lub malowane proszkowo (lub równoważne), odporne na typowe uszkodzenia eksploatacyjne.</w:t>
            </w:r>
          </w:p>
          <w:p w14:paraId="33B4EFFC" w14:textId="77777777" w:rsidR="009D6894" w:rsidRPr="009D6894" w:rsidRDefault="009D6894">
            <w:pPr>
              <w:numPr>
                <w:ilvl w:val="0"/>
                <w:numId w:val="44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>Konstrukcja posiada pełną stabilność podczas użytkowania.</w:t>
            </w:r>
          </w:p>
          <w:p w14:paraId="2AFEA198" w14:textId="56CE2BD6" w:rsidR="00993A3B" w:rsidRPr="00EC76B3" w:rsidRDefault="009D6894">
            <w:pPr>
              <w:numPr>
                <w:ilvl w:val="0"/>
                <w:numId w:val="44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Minimalna nośność całkowita: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200 kg</w:t>
            </w:r>
            <w:r w:rsidRPr="009D6894">
              <w:rPr>
                <w:rFonts w:asciiTheme="majorHAnsi" w:hAnsiTheme="majorHAnsi" w:cstheme="majorHAnsi"/>
              </w:rPr>
              <w:t>.</w:t>
            </w:r>
          </w:p>
          <w:p w14:paraId="5AE5B445" w14:textId="0FB80331" w:rsidR="009D6894" w:rsidRPr="00A77263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5.Wymiary całkowite:</w:t>
            </w:r>
          </w:p>
          <w:p w14:paraId="39418F36" w14:textId="77777777" w:rsidR="009D6894" w:rsidRPr="009D6894" w:rsidRDefault="009D6894">
            <w:pPr>
              <w:numPr>
                <w:ilvl w:val="0"/>
                <w:numId w:val="45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szerokość: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185–215 cm</w:t>
            </w:r>
            <w:r w:rsidRPr="009D6894">
              <w:rPr>
                <w:rFonts w:asciiTheme="majorHAnsi" w:hAnsiTheme="majorHAnsi" w:cstheme="majorHAnsi"/>
              </w:rPr>
              <w:t>,</w:t>
            </w:r>
          </w:p>
          <w:p w14:paraId="231FE3C9" w14:textId="77777777" w:rsidR="009D6894" w:rsidRPr="009D6894" w:rsidRDefault="009D6894">
            <w:pPr>
              <w:numPr>
                <w:ilvl w:val="0"/>
                <w:numId w:val="45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głębokość: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70–90 cm</w:t>
            </w:r>
            <w:r w:rsidRPr="009D6894">
              <w:rPr>
                <w:rFonts w:asciiTheme="majorHAnsi" w:hAnsiTheme="majorHAnsi" w:cstheme="majorHAnsi"/>
              </w:rPr>
              <w:t>,</w:t>
            </w:r>
          </w:p>
          <w:p w14:paraId="19724F58" w14:textId="77777777" w:rsidR="009D6894" w:rsidRPr="009D6894" w:rsidRDefault="009D6894">
            <w:pPr>
              <w:numPr>
                <w:ilvl w:val="0"/>
                <w:numId w:val="45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wysokość całkowita: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60–75 cm</w:t>
            </w:r>
            <w:r w:rsidRPr="009D6894">
              <w:rPr>
                <w:rFonts w:asciiTheme="majorHAnsi" w:hAnsiTheme="majorHAnsi" w:cstheme="majorHAnsi"/>
              </w:rPr>
              <w:t>.</w:t>
            </w:r>
          </w:p>
          <w:p w14:paraId="515A94B8" w14:textId="77777777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Wymiary użytkowe:</w:t>
            </w:r>
          </w:p>
          <w:p w14:paraId="1B084810" w14:textId="77777777" w:rsidR="009D6894" w:rsidRPr="009D6894" w:rsidRDefault="009D6894">
            <w:pPr>
              <w:numPr>
                <w:ilvl w:val="0"/>
                <w:numId w:val="46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wysokość siedziska: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35–45 cm</w:t>
            </w:r>
            <w:r w:rsidRPr="009D6894">
              <w:rPr>
                <w:rFonts w:asciiTheme="majorHAnsi" w:hAnsiTheme="majorHAnsi" w:cstheme="majorHAnsi"/>
              </w:rPr>
              <w:t>,</w:t>
            </w:r>
          </w:p>
          <w:p w14:paraId="27C152E6" w14:textId="77777777" w:rsidR="009D6894" w:rsidRPr="009D6894" w:rsidRDefault="009D6894">
            <w:pPr>
              <w:numPr>
                <w:ilvl w:val="0"/>
                <w:numId w:val="46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głębokość siedziska: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40–55 cm</w:t>
            </w:r>
            <w:r w:rsidRPr="009D6894">
              <w:rPr>
                <w:rFonts w:asciiTheme="majorHAnsi" w:hAnsiTheme="majorHAnsi" w:cstheme="majorHAnsi"/>
              </w:rPr>
              <w:t>,</w:t>
            </w:r>
          </w:p>
          <w:p w14:paraId="1B461A91" w14:textId="09FCA9E8" w:rsidR="00B724CF" w:rsidRPr="00993A3B" w:rsidRDefault="009D6894">
            <w:pPr>
              <w:numPr>
                <w:ilvl w:val="0"/>
                <w:numId w:val="46"/>
              </w:numPr>
              <w:spacing w:after="0"/>
              <w:rPr>
                <w:rFonts w:asciiTheme="majorHAnsi" w:hAnsiTheme="majorHAnsi" w:cstheme="majorHAnsi"/>
              </w:rPr>
            </w:pPr>
            <w:r w:rsidRPr="009D6894">
              <w:rPr>
                <w:rFonts w:asciiTheme="majorHAnsi" w:hAnsiTheme="majorHAnsi" w:cstheme="majorHAnsi"/>
              </w:rPr>
              <w:t xml:space="preserve">wysokość oparcia ponad siedzisko: </w:t>
            </w:r>
            <w:r w:rsidRPr="009D6894">
              <w:rPr>
                <w:rFonts w:asciiTheme="majorHAnsi" w:hAnsiTheme="majorHAnsi" w:cstheme="majorHAnsi"/>
                <w:b/>
                <w:bCs/>
              </w:rPr>
              <w:t>25–35 cm</w:t>
            </w:r>
            <w:r w:rsidRPr="009D6894">
              <w:rPr>
                <w:rFonts w:asciiTheme="majorHAnsi" w:hAnsiTheme="majorHAnsi" w:cstheme="majorHAnsi"/>
              </w:rPr>
              <w:t>.</w:t>
            </w:r>
          </w:p>
          <w:p w14:paraId="1C9DA649" w14:textId="7DC969B1" w:rsidR="009D6894" w:rsidRPr="009D6894" w:rsidRDefault="009D6894" w:rsidP="009D6894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9D6894">
              <w:rPr>
                <w:rFonts w:asciiTheme="majorHAnsi" w:hAnsiTheme="majorHAnsi" w:cstheme="majorHAnsi"/>
                <w:b/>
                <w:bCs/>
              </w:rPr>
              <w:t>6. Normy</w:t>
            </w:r>
            <w:r w:rsidR="00F72FE4">
              <w:rPr>
                <w:rFonts w:asciiTheme="majorHAnsi" w:hAnsiTheme="majorHAnsi" w:cstheme="majorHAnsi"/>
                <w:b/>
                <w:bCs/>
              </w:rPr>
              <w:t>:</w:t>
            </w:r>
            <w:r w:rsidRPr="009D6894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  <w:p w14:paraId="71F4F1BF" w14:textId="12DF2763" w:rsidR="0084402F" w:rsidRPr="00296E50" w:rsidRDefault="00C3739F" w:rsidP="008B0EDA">
            <w:pPr>
              <w:spacing w:after="0"/>
              <w:rPr>
                <w:rFonts w:asciiTheme="majorHAnsi" w:hAnsiTheme="majorHAnsi" w:cstheme="majorHAnsi"/>
              </w:rPr>
            </w:pPr>
            <w:r w:rsidRPr="00C3739F">
              <w:rPr>
                <w:rFonts w:asciiTheme="majorHAnsi" w:hAnsiTheme="majorHAnsi" w:cstheme="majorHAnsi"/>
              </w:rPr>
              <w:t>Sofa musi spełniać wymagania następujących norm (jeżeli mają zastosowanie), lub norm równoważnych:</w:t>
            </w:r>
            <w:r w:rsidRPr="00C3739F">
              <w:rPr>
                <w:rFonts w:asciiTheme="majorHAnsi" w:hAnsiTheme="majorHAnsi" w:cstheme="majorHAnsi"/>
              </w:rPr>
              <w:br/>
              <w:t>• PN-EN 16139 – meble do użytku nie-domowego: wytrzymałość, trwałość i bezpieczeństwo,</w:t>
            </w:r>
            <w:r w:rsidRPr="00C3739F">
              <w:rPr>
                <w:rFonts w:asciiTheme="majorHAnsi" w:hAnsiTheme="majorHAnsi" w:cstheme="majorHAnsi"/>
              </w:rPr>
              <w:br/>
              <w:t>• PN-EN 1022 – stabilność mebli do siedzenia,</w:t>
            </w:r>
            <w:r w:rsidRPr="00C3739F">
              <w:rPr>
                <w:rFonts w:asciiTheme="majorHAnsi" w:hAnsiTheme="majorHAnsi" w:cstheme="majorHAnsi"/>
              </w:rPr>
              <w:br/>
              <w:t>• PN-EN ISO 12947 – odporność materiałów na ścieranie (Martindale) – jeżeli dotyczy tapicerki,</w:t>
            </w:r>
            <w:r w:rsidRPr="00C3739F">
              <w:rPr>
                <w:rFonts w:asciiTheme="majorHAnsi" w:hAnsiTheme="majorHAnsi" w:cstheme="majorHAnsi"/>
              </w:rPr>
              <w:br/>
              <w:t>• PN-EN ISO 105-B02 – odporność koloru na światło – jeżeli dotyczy tapicerki,</w:t>
            </w:r>
            <w:r w:rsidRPr="00C3739F">
              <w:rPr>
                <w:rFonts w:asciiTheme="majorHAnsi" w:hAnsiTheme="majorHAnsi" w:cstheme="majorHAnsi"/>
              </w:rPr>
              <w:br/>
              <w:t>• PN-EN ISO 13936 – wytrzymałość szwów – jeżeli dotyczy tapicerki.</w:t>
            </w:r>
          </w:p>
        </w:tc>
        <w:tc>
          <w:tcPr>
            <w:tcW w:w="4819" w:type="dxa"/>
          </w:tcPr>
          <w:p w14:paraId="5A2A5206" w14:textId="2CC87612" w:rsidR="00053661" w:rsidRPr="00053661" w:rsidRDefault="00053661" w:rsidP="008907C6">
            <w:pPr>
              <w:rPr>
                <w:rFonts w:asciiTheme="majorHAnsi" w:hAnsiTheme="majorHAnsi" w:cstheme="majorHAnsi"/>
                <w:i/>
                <w:iCs/>
              </w:rPr>
            </w:pPr>
          </w:p>
          <w:p w14:paraId="5E9F803B" w14:textId="3FAF46D8" w:rsidR="00053661" w:rsidRDefault="008907C6" w:rsidP="008907C6">
            <w:pPr>
              <w:jc w:val="center"/>
              <w:rPr>
                <w:rFonts w:asciiTheme="majorHAnsi" w:hAnsiTheme="majorHAnsi" w:cstheme="majorHAnsi"/>
                <w:i/>
                <w:iCs/>
              </w:rPr>
            </w:pPr>
            <w:r w:rsidRPr="00053661">
              <w:rPr>
                <w:rFonts w:asciiTheme="majorHAnsi" w:hAnsiTheme="majorHAnsi" w:cstheme="majorHAnsi"/>
                <w:i/>
                <w:iCs/>
                <w:noProof/>
              </w:rPr>
              <w:drawing>
                <wp:inline distT="0" distB="0" distL="0" distR="0" wp14:anchorId="7DD0BAA3" wp14:editId="7C8FEFD9">
                  <wp:extent cx="2400300" cy="1483360"/>
                  <wp:effectExtent l="0" t="0" r="0" b="2540"/>
                  <wp:docPr id="541504571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364" cy="1498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2B91DD" w14:textId="408922AB" w:rsidR="006D09C8" w:rsidRPr="00296E50" w:rsidRDefault="00D50A57" w:rsidP="008907C6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</w:t>
            </w:r>
            <w:r w:rsidR="0090338D">
              <w:rPr>
                <w:rFonts w:asciiTheme="majorHAnsi" w:hAnsiTheme="majorHAnsi" w:cstheme="majorHAnsi"/>
                <w:i/>
                <w:iCs/>
              </w:rPr>
              <w:t>.</w:t>
            </w:r>
          </w:p>
        </w:tc>
      </w:tr>
    </w:tbl>
    <w:p w14:paraId="36BB5EB3" w14:textId="77777777" w:rsidR="00436A4B" w:rsidRPr="00296E50" w:rsidRDefault="00436A4B" w:rsidP="008907C6">
      <w:pPr>
        <w:pStyle w:val="NormalnyWeb"/>
        <w:rPr>
          <w:rFonts w:asciiTheme="majorHAnsi" w:hAnsiTheme="majorHAnsi" w:cstheme="majorHAnsi"/>
        </w:rPr>
      </w:pPr>
    </w:p>
    <w:sectPr w:rsidR="00436A4B" w:rsidRPr="00296E50" w:rsidSect="008E726B">
      <w:footerReference w:type="default" r:id="rId17"/>
      <w:pgSz w:w="15840" w:h="12240" w:orient="landscape"/>
      <w:pgMar w:top="284" w:right="1440" w:bottom="426" w:left="1440" w:header="720" w:footer="29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0BA8AE" w14:textId="77777777" w:rsidR="00AF4CCF" w:rsidRPr="00733773" w:rsidRDefault="00AF4CCF" w:rsidP="00FB04C2">
      <w:pPr>
        <w:spacing w:after="0" w:line="240" w:lineRule="auto"/>
      </w:pPr>
      <w:r w:rsidRPr="00733773">
        <w:separator/>
      </w:r>
    </w:p>
  </w:endnote>
  <w:endnote w:type="continuationSeparator" w:id="0">
    <w:p w14:paraId="537DACC5" w14:textId="77777777" w:rsidR="00AF4CCF" w:rsidRPr="00733773" w:rsidRDefault="00AF4CCF" w:rsidP="00FB04C2">
      <w:pPr>
        <w:spacing w:after="0" w:line="240" w:lineRule="auto"/>
      </w:pPr>
      <w:r w:rsidRPr="00733773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97523103"/>
      <w:docPartObj>
        <w:docPartGallery w:val="Page Numbers (Bottom of Page)"/>
        <w:docPartUnique/>
      </w:docPartObj>
    </w:sdtPr>
    <w:sdtContent>
      <w:p w14:paraId="33C5E20D" w14:textId="5BA273AE" w:rsidR="00017A8C" w:rsidRDefault="00017A8C">
        <w:pPr>
          <w:pStyle w:val="Stopka"/>
          <w:jc w:val="right"/>
        </w:pPr>
        <w:r w:rsidRPr="00017A8C">
          <w:rPr>
            <w:sz w:val="18"/>
            <w:szCs w:val="18"/>
          </w:rPr>
          <w:fldChar w:fldCharType="begin"/>
        </w:r>
        <w:r w:rsidRPr="00017A8C">
          <w:rPr>
            <w:sz w:val="18"/>
            <w:szCs w:val="18"/>
          </w:rPr>
          <w:instrText>PAGE   \* MERGEFORMAT</w:instrText>
        </w:r>
        <w:r w:rsidRPr="00017A8C">
          <w:rPr>
            <w:sz w:val="18"/>
            <w:szCs w:val="18"/>
          </w:rPr>
          <w:fldChar w:fldCharType="separate"/>
        </w:r>
        <w:r w:rsidRPr="00017A8C">
          <w:rPr>
            <w:sz w:val="18"/>
            <w:szCs w:val="18"/>
          </w:rPr>
          <w:t>2</w:t>
        </w:r>
        <w:r w:rsidRPr="00017A8C">
          <w:rPr>
            <w:sz w:val="18"/>
            <w:szCs w:val="18"/>
          </w:rPr>
          <w:fldChar w:fldCharType="end"/>
        </w:r>
      </w:p>
    </w:sdtContent>
  </w:sdt>
  <w:p w14:paraId="7419B252" w14:textId="77777777" w:rsidR="00017A8C" w:rsidRDefault="00017A8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DAEFE" w14:textId="77777777" w:rsidR="00AF4CCF" w:rsidRPr="00733773" w:rsidRDefault="00AF4CCF" w:rsidP="00FB04C2">
      <w:pPr>
        <w:spacing w:after="0" w:line="240" w:lineRule="auto"/>
      </w:pPr>
      <w:r w:rsidRPr="00733773">
        <w:separator/>
      </w:r>
    </w:p>
  </w:footnote>
  <w:footnote w:type="continuationSeparator" w:id="0">
    <w:p w14:paraId="709848B5" w14:textId="77777777" w:rsidR="00AF4CCF" w:rsidRPr="00733773" w:rsidRDefault="00AF4CCF" w:rsidP="00FB04C2">
      <w:pPr>
        <w:spacing w:after="0" w:line="240" w:lineRule="auto"/>
      </w:pPr>
      <w:r w:rsidRPr="00733773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19E46E7"/>
    <w:multiLevelType w:val="multilevel"/>
    <w:tmpl w:val="9B383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5280609"/>
    <w:multiLevelType w:val="multilevel"/>
    <w:tmpl w:val="70FA7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C9C63C7"/>
    <w:multiLevelType w:val="multilevel"/>
    <w:tmpl w:val="19704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E185609"/>
    <w:multiLevelType w:val="multilevel"/>
    <w:tmpl w:val="B2F297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1CE3B74"/>
    <w:multiLevelType w:val="multilevel"/>
    <w:tmpl w:val="0756A9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3AA228B"/>
    <w:multiLevelType w:val="multilevel"/>
    <w:tmpl w:val="D0B2E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3F01A99"/>
    <w:multiLevelType w:val="multilevel"/>
    <w:tmpl w:val="B6C8C5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AE20EB1"/>
    <w:multiLevelType w:val="multilevel"/>
    <w:tmpl w:val="B1687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D8E0A3E"/>
    <w:multiLevelType w:val="multilevel"/>
    <w:tmpl w:val="5B1CD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E7E71EB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18948B8"/>
    <w:multiLevelType w:val="hybridMultilevel"/>
    <w:tmpl w:val="1A56B2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C5416D"/>
    <w:multiLevelType w:val="multilevel"/>
    <w:tmpl w:val="5E321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4BE3C1E"/>
    <w:multiLevelType w:val="multilevel"/>
    <w:tmpl w:val="02ACE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63211F8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922293B"/>
    <w:multiLevelType w:val="hybridMultilevel"/>
    <w:tmpl w:val="109ECCB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F84142E"/>
    <w:multiLevelType w:val="hybridMultilevel"/>
    <w:tmpl w:val="C11265E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AA38B6"/>
    <w:multiLevelType w:val="multilevel"/>
    <w:tmpl w:val="94AAB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1164582"/>
    <w:multiLevelType w:val="multilevel"/>
    <w:tmpl w:val="B3405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468290E"/>
    <w:multiLevelType w:val="multilevel"/>
    <w:tmpl w:val="7BA607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51F2817"/>
    <w:multiLevelType w:val="multilevel"/>
    <w:tmpl w:val="747C4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C665099"/>
    <w:multiLevelType w:val="multilevel"/>
    <w:tmpl w:val="831A129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27" w15:restartNumberingAfterBreak="0">
    <w:nsid w:val="3CB34D19"/>
    <w:multiLevelType w:val="multilevel"/>
    <w:tmpl w:val="11EA7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0C45557"/>
    <w:multiLevelType w:val="multilevel"/>
    <w:tmpl w:val="53A8E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43E3A1F"/>
    <w:multiLevelType w:val="multilevel"/>
    <w:tmpl w:val="509259C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ajorHAnsi" w:eastAsiaTheme="minorEastAsia" w:hAnsiTheme="majorHAnsi" w:cstheme="majorHAnsi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30" w15:restartNumberingAfterBreak="0">
    <w:nsid w:val="462E1220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79310DD"/>
    <w:multiLevelType w:val="multilevel"/>
    <w:tmpl w:val="3D203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2414A27"/>
    <w:multiLevelType w:val="multilevel"/>
    <w:tmpl w:val="DE120A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31D387B"/>
    <w:multiLevelType w:val="multilevel"/>
    <w:tmpl w:val="213A1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4771C8D"/>
    <w:multiLevelType w:val="multilevel"/>
    <w:tmpl w:val="1324C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C45F63"/>
    <w:multiLevelType w:val="multilevel"/>
    <w:tmpl w:val="34FE7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6CA5B61"/>
    <w:multiLevelType w:val="multilevel"/>
    <w:tmpl w:val="AA76D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0D17319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2BB5AE3"/>
    <w:multiLevelType w:val="multilevel"/>
    <w:tmpl w:val="016848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4B8443F"/>
    <w:multiLevelType w:val="multilevel"/>
    <w:tmpl w:val="AA6CA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63014C7"/>
    <w:multiLevelType w:val="multilevel"/>
    <w:tmpl w:val="AF388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799183A"/>
    <w:multiLevelType w:val="multilevel"/>
    <w:tmpl w:val="52CE3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6A2D1CD9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6ABA2930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6B7E1C1A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6BC3745C"/>
    <w:multiLevelType w:val="multilevel"/>
    <w:tmpl w:val="71368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6AD2432"/>
    <w:multiLevelType w:val="multilevel"/>
    <w:tmpl w:val="B6985D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B315C2B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BFA0254"/>
    <w:multiLevelType w:val="multilevel"/>
    <w:tmpl w:val="00D66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C3715EB"/>
    <w:multiLevelType w:val="multilevel"/>
    <w:tmpl w:val="2D1840E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C4D5DFB"/>
    <w:multiLevelType w:val="multilevel"/>
    <w:tmpl w:val="50D20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7DC40E6C"/>
    <w:multiLevelType w:val="multilevel"/>
    <w:tmpl w:val="F906E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14609721">
    <w:abstractNumId w:val="5"/>
  </w:num>
  <w:num w:numId="2" w16cid:durableId="1440106659">
    <w:abstractNumId w:val="3"/>
  </w:num>
  <w:num w:numId="3" w16cid:durableId="17706022">
    <w:abstractNumId w:val="2"/>
  </w:num>
  <w:num w:numId="4" w16cid:durableId="1722292444">
    <w:abstractNumId w:val="4"/>
  </w:num>
  <w:num w:numId="5" w16cid:durableId="914243847">
    <w:abstractNumId w:val="1"/>
  </w:num>
  <w:num w:numId="6" w16cid:durableId="1349525406">
    <w:abstractNumId w:val="0"/>
  </w:num>
  <w:num w:numId="7" w16cid:durableId="1421944753">
    <w:abstractNumId w:val="12"/>
  </w:num>
  <w:num w:numId="8" w16cid:durableId="189271149">
    <w:abstractNumId w:val="13"/>
  </w:num>
  <w:num w:numId="9" w16cid:durableId="1572495885">
    <w:abstractNumId w:val="46"/>
  </w:num>
  <w:num w:numId="10" w16cid:durableId="1269199064">
    <w:abstractNumId w:val="38"/>
  </w:num>
  <w:num w:numId="11" w16cid:durableId="1284993662">
    <w:abstractNumId w:val="49"/>
  </w:num>
  <w:num w:numId="12" w16cid:durableId="1663504445">
    <w:abstractNumId w:val="11"/>
  </w:num>
  <w:num w:numId="13" w16cid:durableId="1133983125">
    <w:abstractNumId w:val="17"/>
  </w:num>
  <w:num w:numId="14" w16cid:durableId="1766613853">
    <w:abstractNumId w:val="28"/>
  </w:num>
  <w:num w:numId="15" w16cid:durableId="594478383">
    <w:abstractNumId w:val="23"/>
  </w:num>
  <w:num w:numId="16" w16cid:durableId="428081571">
    <w:abstractNumId w:val="50"/>
  </w:num>
  <w:num w:numId="17" w16cid:durableId="593129745">
    <w:abstractNumId w:val="48"/>
  </w:num>
  <w:num w:numId="18" w16cid:durableId="1081869844">
    <w:abstractNumId w:val="45"/>
  </w:num>
  <w:num w:numId="19" w16cid:durableId="165481203">
    <w:abstractNumId w:val="40"/>
  </w:num>
  <w:num w:numId="20" w16cid:durableId="1187787704">
    <w:abstractNumId w:val="31"/>
  </w:num>
  <w:num w:numId="21" w16cid:durableId="1084032400">
    <w:abstractNumId w:val="32"/>
  </w:num>
  <w:num w:numId="22" w16cid:durableId="364991606">
    <w:abstractNumId w:val="10"/>
  </w:num>
  <w:num w:numId="23" w16cid:durableId="2073968355">
    <w:abstractNumId w:val="7"/>
  </w:num>
  <w:num w:numId="24" w16cid:durableId="631247980">
    <w:abstractNumId w:val="35"/>
  </w:num>
  <w:num w:numId="25" w16cid:durableId="1520779971">
    <w:abstractNumId w:val="18"/>
  </w:num>
  <w:num w:numId="26" w16cid:durableId="558900628">
    <w:abstractNumId w:val="6"/>
  </w:num>
  <w:num w:numId="27" w16cid:durableId="75130971">
    <w:abstractNumId w:val="33"/>
  </w:num>
  <w:num w:numId="28" w16cid:durableId="2074692441">
    <w:abstractNumId w:val="24"/>
  </w:num>
  <w:num w:numId="29" w16cid:durableId="1496146836">
    <w:abstractNumId w:val="36"/>
  </w:num>
  <w:num w:numId="30" w16cid:durableId="1914701820">
    <w:abstractNumId w:val="51"/>
  </w:num>
  <w:num w:numId="31" w16cid:durableId="603272883">
    <w:abstractNumId w:val="9"/>
  </w:num>
  <w:num w:numId="32" w16cid:durableId="1647473619">
    <w:abstractNumId w:val="25"/>
  </w:num>
  <w:num w:numId="33" w16cid:durableId="499083509">
    <w:abstractNumId w:val="39"/>
  </w:num>
  <w:num w:numId="34" w16cid:durableId="907694222">
    <w:abstractNumId w:val="34"/>
  </w:num>
  <w:num w:numId="35" w16cid:durableId="603923639">
    <w:abstractNumId w:val="8"/>
  </w:num>
  <w:num w:numId="36" w16cid:durableId="158621803">
    <w:abstractNumId w:val="22"/>
  </w:num>
  <w:num w:numId="37" w16cid:durableId="830634563">
    <w:abstractNumId w:val="15"/>
  </w:num>
  <w:num w:numId="38" w16cid:durableId="1422602373">
    <w:abstractNumId w:val="41"/>
  </w:num>
  <w:num w:numId="39" w16cid:durableId="414864631">
    <w:abstractNumId w:val="14"/>
  </w:num>
  <w:num w:numId="40" w16cid:durableId="1854756796">
    <w:abstractNumId w:val="27"/>
  </w:num>
  <w:num w:numId="41" w16cid:durableId="1694376462">
    <w:abstractNumId w:val="21"/>
  </w:num>
  <w:num w:numId="42" w16cid:durableId="990249734">
    <w:abstractNumId w:val="26"/>
  </w:num>
  <w:num w:numId="43" w16cid:durableId="126436015">
    <w:abstractNumId w:val="30"/>
  </w:num>
  <w:num w:numId="44" w16cid:durableId="1001160114">
    <w:abstractNumId w:val="44"/>
  </w:num>
  <w:num w:numId="45" w16cid:durableId="2074884650">
    <w:abstractNumId w:val="19"/>
  </w:num>
  <w:num w:numId="46" w16cid:durableId="345207760">
    <w:abstractNumId w:val="47"/>
  </w:num>
  <w:num w:numId="47" w16cid:durableId="2068147211">
    <w:abstractNumId w:val="20"/>
  </w:num>
  <w:num w:numId="48" w16cid:durableId="1641108962">
    <w:abstractNumId w:val="42"/>
  </w:num>
  <w:num w:numId="49" w16cid:durableId="1434787059">
    <w:abstractNumId w:val="29"/>
  </w:num>
  <w:num w:numId="50" w16cid:durableId="1476413382">
    <w:abstractNumId w:val="43"/>
  </w:num>
  <w:num w:numId="51" w16cid:durableId="1230386282">
    <w:abstractNumId w:val="37"/>
  </w:num>
  <w:num w:numId="52" w16cid:durableId="93283688">
    <w:abstractNumId w:val="16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09B0"/>
    <w:rsid w:val="00001BCA"/>
    <w:rsid w:val="00004583"/>
    <w:rsid w:val="000064E6"/>
    <w:rsid w:val="00010153"/>
    <w:rsid w:val="000104F2"/>
    <w:rsid w:val="00014186"/>
    <w:rsid w:val="00016209"/>
    <w:rsid w:val="00017294"/>
    <w:rsid w:val="00017A8C"/>
    <w:rsid w:val="00020954"/>
    <w:rsid w:val="00020D4B"/>
    <w:rsid w:val="000235C2"/>
    <w:rsid w:val="00026A1E"/>
    <w:rsid w:val="00027D0A"/>
    <w:rsid w:val="00034616"/>
    <w:rsid w:val="00035AFE"/>
    <w:rsid w:val="00036161"/>
    <w:rsid w:val="00040A2B"/>
    <w:rsid w:val="00042EC4"/>
    <w:rsid w:val="00044CE0"/>
    <w:rsid w:val="000465A0"/>
    <w:rsid w:val="00047AFA"/>
    <w:rsid w:val="00051621"/>
    <w:rsid w:val="00053661"/>
    <w:rsid w:val="000551CE"/>
    <w:rsid w:val="000566D0"/>
    <w:rsid w:val="0005696A"/>
    <w:rsid w:val="0006063C"/>
    <w:rsid w:val="00060699"/>
    <w:rsid w:val="000634A2"/>
    <w:rsid w:val="000652E1"/>
    <w:rsid w:val="00077AF1"/>
    <w:rsid w:val="000805F5"/>
    <w:rsid w:val="0008177E"/>
    <w:rsid w:val="000831CC"/>
    <w:rsid w:val="0008534D"/>
    <w:rsid w:val="00087D95"/>
    <w:rsid w:val="00090EBD"/>
    <w:rsid w:val="00091D66"/>
    <w:rsid w:val="00092C11"/>
    <w:rsid w:val="00096A10"/>
    <w:rsid w:val="000A040C"/>
    <w:rsid w:val="000A1E7B"/>
    <w:rsid w:val="000A3CCE"/>
    <w:rsid w:val="000A4B58"/>
    <w:rsid w:val="000A5355"/>
    <w:rsid w:val="000A672D"/>
    <w:rsid w:val="000B2B03"/>
    <w:rsid w:val="000B6F46"/>
    <w:rsid w:val="000C6682"/>
    <w:rsid w:val="000C741F"/>
    <w:rsid w:val="000D0DF8"/>
    <w:rsid w:val="000D1FD9"/>
    <w:rsid w:val="000D4072"/>
    <w:rsid w:val="000D6497"/>
    <w:rsid w:val="000E0B0D"/>
    <w:rsid w:val="000E124B"/>
    <w:rsid w:val="000E42E0"/>
    <w:rsid w:val="000E43E8"/>
    <w:rsid w:val="000E5CC8"/>
    <w:rsid w:val="000F0604"/>
    <w:rsid w:val="000F06EE"/>
    <w:rsid w:val="000F1AAC"/>
    <w:rsid w:val="000F2B10"/>
    <w:rsid w:val="000F34B4"/>
    <w:rsid w:val="00104474"/>
    <w:rsid w:val="00105955"/>
    <w:rsid w:val="00110C23"/>
    <w:rsid w:val="0012179B"/>
    <w:rsid w:val="00121AC3"/>
    <w:rsid w:val="00122CE7"/>
    <w:rsid w:val="001248AB"/>
    <w:rsid w:val="0012550E"/>
    <w:rsid w:val="00127AF8"/>
    <w:rsid w:val="00132527"/>
    <w:rsid w:val="0013287F"/>
    <w:rsid w:val="0013489D"/>
    <w:rsid w:val="00142C41"/>
    <w:rsid w:val="001433D5"/>
    <w:rsid w:val="001456FD"/>
    <w:rsid w:val="001459DB"/>
    <w:rsid w:val="0015074B"/>
    <w:rsid w:val="0015170C"/>
    <w:rsid w:val="00153557"/>
    <w:rsid w:val="001568E2"/>
    <w:rsid w:val="00157151"/>
    <w:rsid w:val="00163C3E"/>
    <w:rsid w:val="00163E8A"/>
    <w:rsid w:val="001672CE"/>
    <w:rsid w:val="00167535"/>
    <w:rsid w:val="001702C3"/>
    <w:rsid w:val="0017073F"/>
    <w:rsid w:val="00175DC2"/>
    <w:rsid w:val="00176076"/>
    <w:rsid w:val="00176DE2"/>
    <w:rsid w:val="00176E00"/>
    <w:rsid w:val="00182A5E"/>
    <w:rsid w:val="001906D8"/>
    <w:rsid w:val="001918D8"/>
    <w:rsid w:val="00193848"/>
    <w:rsid w:val="00195973"/>
    <w:rsid w:val="001A1CA3"/>
    <w:rsid w:val="001A1CB7"/>
    <w:rsid w:val="001A3893"/>
    <w:rsid w:val="001A5DF8"/>
    <w:rsid w:val="001B0411"/>
    <w:rsid w:val="001B2603"/>
    <w:rsid w:val="001B3529"/>
    <w:rsid w:val="001B3AC7"/>
    <w:rsid w:val="001B6074"/>
    <w:rsid w:val="001B65E9"/>
    <w:rsid w:val="001C40E5"/>
    <w:rsid w:val="001C42A0"/>
    <w:rsid w:val="001C67B3"/>
    <w:rsid w:val="001C7670"/>
    <w:rsid w:val="001D369C"/>
    <w:rsid w:val="001D6016"/>
    <w:rsid w:val="001E4ACA"/>
    <w:rsid w:val="001E5A35"/>
    <w:rsid w:val="001E6DB4"/>
    <w:rsid w:val="001E7276"/>
    <w:rsid w:val="001F1AD5"/>
    <w:rsid w:val="001F272F"/>
    <w:rsid w:val="001F28B4"/>
    <w:rsid w:val="001F355C"/>
    <w:rsid w:val="001F4209"/>
    <w:rsid w:val="00200195"/>
    <w:rsid w:val="00200EBD"/>
    <w:rsid w:val="00203D32"/>
    <w:rsid w:val="002043CF"/>
    <w:rsid w:val="00204424"/>
    <w:rsid w:val="002066F6"/>
    <w:rsid w:val="002105DF"/>
    <w:rsid w:val="002115DC"/>
    <w:rsid w:val="00213ACC"/>
    <w:rsid w:val="00213C4B"/>
    <w:rsid w:val="00214218"/>
    <w:rsid w:val="0021503A"/>
    <w:rsid w:val="002150D6"/>
    <w:rsid w:val="00215D18"/>
    <w:rsid w:val="00221675"/>
    <w:rsid w:val="002224E4"/>
    <w:rsid w:val="00222F42"/>
    <w:rsid w:val="00234451"/>
    <w:rsid w:val="00241747"/>
    <w:rsid w:val="00243796"/>
    <w:rsid w:val="00243FC9"/>
    <w:rsid w:val="0024476A"/>
    <w:rsid w:val="00251434"/>
    <w:rsid w:val="00257440"/>
    <w:rsid w:val="00261A09"/>
    <w:rsid w:val="0026534F"/>
    <w:rsid w:val="002669A1"/>
    <w:rsid w:val="002678A2"/>
    <w:rsid w:val="002756B6"/>
    <w:rsid w:val="0027653D"/>
    <w:rsid w:val="00277682"/>
    <w:rsid w:val="0028590F"/>
    <w:rsid w:val="0028644A"/>
    <w:rsid w:val="002906F0"/>
    <w:rsid w:val="00292573"/>
    <w:rsid w:val="0029639D"/>
    <w:rsid w:val="00296E50"/>
    <w:rsid w:val="00296FE9"/>
    <w:rsid w:val="002A535A"/>
    <w:rsid w:val="002A6C6C"/>
    <w:rsid w:val="002B640B"/>
    <w:rsid w:val="002B789E"/>
    <w:rsid w:val="002B7ED8"/>
    <w:rsid w:val="002D4D1E"/>
    <w:rsid w:val="002D4FDF"/>
    <w:rsid w:val="002D7833"/>
    <w:rsid w:val="002E0157"/>
    <w:rsid w:val="002E6B7A"/>
    <w:rsid w:val="002F12B1"/>
    <w:rsid w:val="002F3871"/>
    <w:rsid w:val="002F547A"/>
    <w:rsid w:val="002F7138"/>
    <w:rsid w:val="002F7E92"/>
    <w:rsid w:val="003008E6"/>
    <w:rsid w:val="00301FD4"/>
    <w:rsid w:val="00302BE8"/>
    <w:rsid w:val="00303C1C"/>
    <w:rsid w:val="00303F8A"/>
    <w:rsid w:val="003078BD"/>
    <w:rsid w:val="00307A5F"/>
    <w:rsid w:val="003124EF"/>
    <w:rsid w:val="00312D6E"/>
    <w:rsid w:val="00316D39"/>
    <w:rsid w:val="0032011E"/>
    <w:rsid w:val="00320E27"/>
    <w:rsid w:val="00325871"/>
    <w:rsid w:val="00326576"/>
    <w:rsid w:val="00326F90"/>
    <w:rsid w:val="00327DCF"/>
    <w:rsid w:val="0033189E"/>
    <w:rsid w:val="00337E1D"/>
    <w:rsid w:val="003420CE"/>
    <w:rsid w:val="003442A9"/>
    <w:rsid w:val="003475F7"/>
    <w:rsid w:val="00351055"/>
    <w:rsid w:val="00351827"/>
    <w:rsid w:val="00351BC6"/>
    <w:rsid w:val="00354785"/>
    <w:rsid w:val="003570A1"/>
    <w:rsid w:val="003571AF"/>
    <w:rsid w:val="00357BE4"/>
    <w:rsid w:val="003602C5"/>
    <w:rsid w:val="00361098"/>
    <w:rsid w:val="003632B3"/>
    <w:rsid w:val="00363413"/>
    <w:rsid w:val="00364A28"/>
    <w:rsid w:val="003737DB"/>
    <w:rsid w:val="00375600"/>
    <w:rsid w:val="00375626"/>
    <w:rsid w:val="00376AA2"/>
    <w:rsid w:val="00381722"/>
    <w:rsid w:val="003841E0"/>
    <w:rsid w:val="003866F7"/>
    <w:rsid w:val="00391008"/>
    <w:rsid w:val="00391E1D"/>
    <w:rsid w:val="0039204C"/>
    <w:rsid w:val="00392473"/>
    <w:rsid w:val="003937D6"/>
    <w:rsid w:val="00394F11"/>
    <w:rsid w:val="00395A5C"/>
    <w:rsid w:val="003A0480"/>
    <w:rsid w:val="003A14F7"/>
    <w:rsid w:val="003A5544"/>
    <w:rsid w:val="003B295B"/>
    <w:rsid w:val="003B3A6D"/>
    <w:rsid w:val="003B5456"/>
    <w:rsid w:val="003B662B"/>
    <w:rsid w:val="003C404E"/>
    <w:rsid w:val="003C58B1"/>
    <w:rsid w:val="003C6188"/>
    <w:rsid w:val="003C73F1"/>
    <w:rsid w:val="003D4952"/>
    <w:rsid w:val="003D7F56"/>
    <w:rsid w:val="003E05B5"/>
    <w:rsid w:val="003E0F89"/>
    <w:rsid w:val="003E0FAC"/>
    <w:rsid w:val="003E3395"/>
    <w:rsid w:val="003E3A66"/>
    <w:rsid w:val="003E4483"/>
    <w:rsid w:val="003E5DCD"/>
    <w:rsid w:val="003F127B"/>
    <w:rsid w:val="003F3BB3"/>
    <w:rsid w:val="00410619"/>
    <w:rsid w:val="00410E44"/>
    <w:rsid w:val="00415659"/>
    <w:rsid w:val="00420A58"/>
    <w:rsid w:val="00422A58"/>
    <w:rsid w:val="00426026"/>
    <w:rsid w:val="00430C0E"/>
    <w:rsid w:val="00436A4B"/>
    <w:rsid w:val="00437988"/>
    <w:rsid w:val="00437BC0"/>
    <w:rsid w:val="00440E18"/>
    <w:rsid w:val="00442088"/>
    <w:rsid w:val="004424D1"/>
    <w:rsid w:val="00444A1B"/>
    <w:rsid w:val="0044695E"/>
    <w:rsid w:val="00447AEF"/>
    <w:rsid w:val="00450E15"/>
    <w:rsid w:val="00464FFC"/>
    <w:rsid w:val="004658DB"/>
    <w:rsid w:val="00466AFC"/>
    <w:rsid w:val="00472C39"/>
    <w:rsid w:val="00473557"/>
    <w:rsid w:val="00475323"/>
    <w:rsid w:val="004764C7"/>
    <w:rsid w:val="00476A61"/>
    <w:rsid w:val="00477A7B"/>
    <w:rsid w:val="00480B91"/>
    <w:rsid w:val="00480DA8"/>
    <w:rsid w:val="00480E1B"/>
    <w:rsid w:val="00483253"/>
    <w:rsid w:val="00487AFF"/>
    <w:rsid w:val="004925E4"/>
    <w:rsid w:val="004939C7"/>
    <w:rsid w:val="00494FFD"/>
    <w:rsid w:val="004A1812"/>
    <w:rsid w:val="004A1B6B"/>
    <w:rsid w:val="004A2D62"/>
    <w:rsid w:val="004A5A95"/>
    <w:rsid w:val="004A74C6"/>
    <w:rsid w:val="004B5666"/>
    <w:rsid w:val="004C416C"/>
    <w:rsid w:val="004C4544"/>
    <w:rsid w:val="004D3670"/>
    <w:rsid w:val="004D3C15"/>
    <w:rsid w:val="004D5994"/>
    <w:rsid w:val="004D5AAA"/>
    <w:rsid w:val="004D6618"/>
    <w:rsid w:val="004E10DB"/>
    <w:rsid w:val="004E24F6"/>
    <w:rsid w:val="004E2B8F"/>
    <w:rsid w:val="004E3F75"/>
    <w:rsid w:val="004E49EA"/>
    <w:rsid w:val="004E5FB2"/>
    <w:rsid w:val="004E669E"/>
    <w:rsid w:val="00500E81"/>
    <w:rsid w:val="0050127D"/>
    <w:rsid w:val="005055D9"/>
    <w:rsid w:val="00505609"/>
    <w:rsid w:val="0050698B"/>
    <w:rsid w:val="00507AA4"/>
    <w:rsid w:val="00510055"/>
    <w:rsid w:val="00516D4D"/>
    <w:rsid w:val="00521CD1"/>
    <w:rsid w:val="005303A9"/>
    <w:rsid w:val="0053359D"/>
    <w:rsid w:val="005351B5"/>
    <w:rsid w:val="005361E0"/>
    <w:rsid w:val="005369AB"/>
    <w:rsid w:val="00541044"/>
    <w:rsid w:val="00546F2E"/>
    <w:rsid w:val="00550820"/>
    <w:rsid w:val="00550C06"/>
    <w:rsid w:val="0055326C"/>
    <w:rsid w:val="00554AC2"/>
    <w:rsid w:val="0056256A"/>
    <w:rsid w:val="0056621C"/>
    <w:rsid w:val="00567AC1"/>
    <w:rsid w:val="00570E8B"/>
    <w:rsid w:val="00573793"/>
    <w:rsid w:val="00574B94"/>
    <w:rsid w:val="005760F3"/>
    <w:rsid w:val="00576787"/>
    <w:rsid w:val="00580322"/>
    <w:rsid w:val="005815F9"/>
    <w:rsid w:val="00581897"/>
    <w:rsid w:val="00582B59"/>
    <w:rsid w:val="00596B74"/>
    <w:rsid w:val="005A4BA7"/>
    <w:rsid w:val="005A52B2"/>
    <w:rsid w:val="005A6B29"/>
    <w:rsid w:val="005B1DC9"/>
    <w:rsid w:val="005B310E"/>
    <w:rsid w:val="005B36B1"/>
    <w:rsid w:val="005C21C4"/>
    <w:rsid w:val="005C2FB0"/>
    <w:rsid w:val="005C3F8A"/>
    <w:rsid w:val="005D31A4"/>
    <w:rsid w:val="005D3D1F"/>
    <w:rsid w:val="005D4C36"/>
    <w:rsid w:val="005D70F5"/>
    <w:rsid w:val="005D72B8"/>
    <w:rsid w:val="005E343C"/>
    <w:rsid w:val="005E6663"/>
    <w:rsid w:val="005F3123"/>
    <w:rsid w:val="005F7924"/>
    <w:rsid w:val="0060006F"/>
    <w:rsid w:val="006027CA"/>
    <w:rsid w:val="00603919"/>
    <w:rsid w:val="00610FF3"/>
    <w:rsid w:val="00615D6A"/>
    <w:rsid w:val="00621892"/>
    <w:rsid w:val="006271D0"/>
    <w:rsid w:val="00627639"/>
    <w:rsid w:val="00635955"/>
    <w:rsid w:val="00642CC0"/>
    <w:rsid w:val="0065501A"/>
    <w:rsid w:val="006561F7"/>
    <w:rsid w:val="00656910"/>
    <w:rsid w:val="00663BC3"/>
    <w:rsid w:val="0066727F"/>
    <w:rsid w:val="00677493"/>
    <w:rsid w:val="00681E25"/>
    <w:rsid w:val="006821B6"/>
    <w:rsid w:val="00682E20"/>
    <w:rsid w:val="00697994"/>
    <w:rsid w:val="006A2CE9"/>
    <w:rsid w:val="006A4233"/>
    <w:rsid w:val="006A6280"/>
    <w:rsid w:val="006A6F71"/>
    <w:rsid w:val="006B0407"/>
    <w:rsid w:val="006B0DB3"/>
    <w:rsid w:val="006B1D64"/>
    <w:rsid w:val="006B2E76"/>
    <w:rsid w:val="006C20EC"/>
    <w:rsid w:val="006C2F26"/>
    <w:rsid w:val="006C4DED"/>
    <w:rsid w:val="006C55D2"/>
    <w:rsid w:val="006D09C8"/>
    <w:rsid w:val="006D0D30"/>
    <w:rsid w:val="006D485F"/>
    <w:rsid w:val="006E79CC"/>
    <w:rsid w:val="006F0C74"/>
    <w:rsid w:val="006F17EA"/>
    <w:rsid w:val="006F3946"/>
    <w:rsid w:val="006F6BBF"/>
    <w:rsid w:val="006F7424"/>
    <w:rsid w:val="007002F3"/>
    <w:rsid w:val="00703804"/>
    <w:rsid w:val="0070540B"/>
    <w:rsid w:val="007103C0"/>
    <w:rsid w:val="0071407E"/>
    <w:rsid w:val="007140A3"/>
    <w:rsid w:val="00715480"/>
    <w:rsid w:val="00715E57"/>
    <w:rsid w:val="00717DF2"/>
    <w:rsid w:val="00722D63"/>
    <w:rsid w:val="00723B4C"/>
    <w:rsid w:val="00730449"/>
    <w:rsid w:val="0073347D"/>
    <w:rsid w:val="00733773"/>
    <w:rsid w:val="00733E0C"/>
    <w:rsid w:val="00736F03"/>
    <w:rsid w:val="00737D66"/>
    <w:rsid w:val="0074236B"/>
    <w:rsid w:val="00745992"/>
    <w:rsid w:val="00745F53"/>
    <w:rsid w:val="00746D66"/>
    <w:rsid w:val="00746EA6"/>
    <w:rsid w:val="007531AB"/>
    <w:rsid w:val="00757658"/>
    <w:rsid w:val="00760AF4"/>
    <w:rsid w:val="007649F8"/>
    <w:rsid w:val="0076508F"/>
    <w:rsid w:val="00771080"/>
    <w:rsid w:val="007715B3"/>
    <w:rsid w:val="00774B31"/>
    <w:rsid w:val="007760E6"/>
    <w:rsid w:val="00777992"/>
    <w:rsid w:val="00781893"/>
    <w:rsid w:val="007834C7"/>
    <w:rsid w:val="00784555"/>
    <w:rsid w:val="00786566"/>
    <w:rsid w:val="00786F18"/>
    <w:rsid w:val="00790E4C"/>
    <w:rsid w:val="0079153F"/>
    <w:rsid w:val="00794ABE"/>
    <w:rsid w:val="007A164A"/>
    <w:rsid w:val="007A48DA"/>
    <w:rsid w:val="007A7A4C"/>
    <w:rsid w:val="007B17C3"/>
    <w:rsid w:val="007B4A63"/>
    <w:rsid w:val="007B4FA1"/>
    <w:rsid w:val="007C07E0"/>
    <w:rsid w:val="007C431A"/>
    <w:rsid w:val="007C4824"/>
    <w:rsid w:val="007C689F"/>
    <w:rsid w:val="007D00B0"/>
    <w:rsid w:val="007D544B"/>
    <w:rsid w:val="007D634F"/>
    <w:rsid w:val="007E01C1"/>
    <w:rsid w:val="007E3A0A"/>
    <w:rsid w:val="007E7F05"/>
    <w:rsid w:val="007F12A9"/>
    <w:rsid w:val="007F6214"/>
    <w:rsid w:val="00800E68"/>
    <w:rsid w:val="00801A59"/>
    <w:rsid w:val="00804367"/>
    <w:rsid w:val="00806183"/>
    <w:rsid w:val="008132EA"/>
    <w:rsid w:val="00814E0C"/>
    <w:rsid w:val="00816ADA"/>
    <w:rsid w:val="00823A0C"/>
    <w:rsid w:val="0082520E"/>
    <w:rsid w:val="00825293"/>
    <w:rsid w:val="008252C0"/>
    <w:rsid w:val="008272E5"/>
    <w:rsid w:val="00827745"/>
    <w:rsid w:val="00831CA8"/>
    <w:rsid w:val="00832022"/>
    <w:rsid w:val="00833900"/>
    <w:rsid w:val="00834CFB"/>
    <w:rsid w:val="00836790"/>
    <w:rsid w:val="008409F8"/>
    <w:rsid w:val="00841EDB"/>
    <w:rsid w:val="0084402F"/>
    <w:rsid w:val="00845052"/>
    <w:rsid w:val="008458D2"/>
    <w:rsid w:val="00850A2B"/>
    <w:rsid w:val="0085297F"/>
    <w:rsid w:val="008530BA"/>
    <w:rsid w:val="00853510"/>
    <w:rsid w:val="008540EB"/>
    <w:rsid w:val="00857C78"/>
    <w:rsid w:val="0086315C"/>
    <w:rsid w:val="0086683E"/>
    <w:rsid w:val="008676CD"/>
    <w:rsid w:val="00870925"/>
    <w:rsid w:val="00871445"/>
    <w:rsid w:val="008723A3"/>
    <w:rsid w:val="00872816"/>
    <w:rsid w:val="00882E1D"/>
    <w:rsid w:val="00882F86"/>
    <w:rsid w:val="00885E0E"/>
    <w:rsid w:val="008870BD"/>
    <w:rsid w:val="008907C6"/>
    <w:rsid w:val="00894ED9"/>
    <w:rsid w:val="008A3528"/>
    <w:rsid w:val="008B0ECC"/>
    <w:rsid w:val="008B0EDA"/>
    <w:rsid w:val="008B255E"/>
    <w:rsid w:val="008B40E1"/>
    <w:rsid w:val="008B434F"/>
    <w:rsid w:val="008B46BB"/>
    <w:rsid w:val="008B749F"/>
    <w:rsid w:val="008C3408"/>
    <w:rsid w:val="008C5151"/>
    <w:rsid w:val="008C72DA"/>
    <w:rsid w:val="008D205D"/>
    <w:rsid w:val="008D5389"/>
    <w:rsid w:val="008D5B68"/>
    <w:rsid w:val="008D797D"/>
    <w:rsid w:val="008D7CF3"/>
    <w:rsid w:val="008E07AB"/>
    <w:rsid w:val="008E53C8"/>
    <w:rsid w:val="008E5FC9"/>
    <w:rsid w:val="008E66FE"/>
    <w:rsid w:val="008E6C34"/>
    <w:rsid w:val="008E726B"/>
    <w:rsid w:val="008F3C43"/>
    <w:rsid w:val="008F48CB"/>
    <w:rsid w:val="0090144D"/>
    <w:rsid w:val="00902B3D"/>
    <w:rsid w:val="00902D08"/>
    <w:rsid w:val="0090338D"/>
    <w:rsid w:val="00907D43"/>
    <w:rsid w:val="00910CFA"/>
    <w:rsid w:val="00911335"/>
    <w:rsid w:val="00916B98"/>
    <w:rsid w:val="009262B0"/>
    <w:rsid w:val="009276E8"/>
    <w:rsid w:val="00931AB3"/>
    <w:rsid w:val="00932C15"/>
    <w:rsid w:val="00940193"/>
    <w:rsid w:val="00940597"/>
    <w:rsid w:val="0094454D"/>
    <w:rsid w:val="009447E3"/>
    <w:rsid w:val="0095207A"/>
    <w:rsid w:val="00952497"/>
    <w:rsid w:val="00953C1D"/>
    <w:rsid w:val="00956ABB"/>
    <w:rsid w:val="00961EEC"/>
    <w:rsid w:val="00962561"/>
    <w:rsid w:val="00964849"/>
    <w:rsid w:val="00964A4D"/>
    <w:rsid w:val="00966AD6"/>
    <w:rsid w:val="00973201"/>
    <w:rsid w:val="0097349B"/>
    <w:rsid w:val="00974303"/>
    <w:rsid w:val="009821B0"/>
    <w:rsid w:val="009826A1"/>
    <w:rsid w:val="009828C1"/>
    <w:rsid w:val="0098592C"/>
    <w:rsid w:val="00986D22"/>
    <w:rsid w:val="00993A3B"/>
    <w:rsid w:val="00993B9A"/>
    <w:rsid w:val="00993E30"/>
    <w:rsid w:val="009A30E5"/>
    <w:rsid w:val="009A7472"/>
    <w:rsid w:val="009B2E56"/>
    <w:rsid w:val="009B769A"/>
    <w:rsid w:val="009C08AF"/>
    <w:rsid w:val="009C1BEA"/>
    <w:rsid w:val="009C6D09"/>
    <w:rsid w:val="009D03F6"/>
    <w:rsid w:val="009D22EF"/>
    <w:rsid w:val="009D4C18"/>
    <w:rsid w:val="009D6894"/>
    <w:rsid w:val="009D6D4F"/>
    <w:rsid w:val="009E312C"/>
    <w:rsid w:val="009E5E9E"/>
    <w:rsid w:val="009E6559"/>
    <w:rsid w:val="009F28A8"/>
    <w:rsid w:val="009F6A2E"/>
    <w:rsid w:val="009F6F59"/>
    <w:rsid w:val="00A020D3"/>
    <w:rsid w:val="00A04A98"/>
    <w:rsid w:val="00A04ADD"/>
    <w:rsid w:val="00A056DE"/>
    <w:rsid w:val="00A1171A"/>
    <w:rsid w:val="00A1255B"/>
    <w:rsid w:val="00A13EE4"/>
    <w:rsid w:val="00A21CA8"/>
    <w:rsid w:val="00A22BEB"/>
    <w:rsid w:val="00A240E9"/>
    <w:rsid w:val="00A24EE3"/>
    <w:rsid w:val="00A3055B"/>
    <w:rsid w:val="00A3087D"/>
    <w:rsid w:val="00A31827"/>
    <w:rsid w:val="00A323F2"/>
    <w:rsid w:val="00A33351"/>
    <w:rsid w:val="00A354F8"/>
    <w:rsid w:val="00A43E47"/>
    <w:rsid w:val="00A51D1B"/>
    <w:rsid w:val="00A5253C"/>
    <w:rsid w:val="00A52657"/>
    <w:rsid w:val="00A52690"/>
    <w:rsid w:val="00A5451A"/>
    <w:rsid w:val="00A57304"/>
    <w:rsid w:val="00A60DA9"/>
    <w:rsid w:val="00A64188"/>
    <w:rsid w:val="00A64755"/>
    <w:rsid w:val="00A73737"/>
    <w:rsid w:val="00A74549"/>
    <w:rsid w:val="00A74C22"/>
    <w:rsid w:val="00A74C3C"/>
    <w:rsid w:val="00A76431"/>
    <w:rsid w:val="00A77263"/>
    <w:rsid w:val="00A82510"/>
    <w:rsid w:val="00A91A92"/>
    <w:rsid w:val="00A93771"/>
    <w:rsid w:val="00A93ACD"/>
    <w:rsid w:val="00A95AFC"/>
    <w:rsid w:val="00A97F59"/>
    <w:rsid w:val="00AA1D8D"/>
    <w:rsid w:val="00AA20D2"/>
    <w:rsid w:val="00AA2A62"/>
    <w:rsid w:val="00AA4701"/>
    <w:rsid w:val="00AB479F"/>
    <w:rsid w:val="00AB5C12"/>
    <w:rsid w:val="00AC5807"/>
    <w:rsid w:val="00AD2EBD"/>
    <w:rsid w:val="00AD2F38"/>
    <w:rsid w:val="00AD4C04"/>
    <w:rsid w:val="00AE1628"/>
    <w:rsid w:val="00AE7C6B"/>
    <w:rsid w:val="00AF04F6"/>
    <w:rsid w:val="00AF4CCF"/>
    <w:rsid w:val="00B00E98"/>
    <w:rsid w:val="00B01EEE"/>
    <w:rsid w:val="00B022FE"/>
    <w:rsid w:val="00B02C28"/>
    <w:rsid w:val="00B04DAB"/>
    <w:rsid w:val="00B07A6A"/>
    <w:rsid w:val="00B125D2"/>
    <w:rsid w:val="00B131EB"/>
    <w:rsid w:val="00B1388C"/>
    <w:rsid w:val="00B1521C"/>
    <w:rsid w:val="00B15D50"/>
    <w:rsid w:val="00B162FB"/>
    <w:rsid w:val="00B2217D"/>
    <w:rsid w:val="00B269C3"/>
    <w:rsid w:val="00B27D8C"/>
    <w:rsid w:val="00B301D2"/>
    <w:rsid w:val="00B32B3B"/>
    <w:rsid w:val="00B3495A"/>
    <w:rsid w:val="00B419F6"/>
    <w:rsid w:val="00B45B92"/>
    <w:rsid w:val="00B46632"/>
    <w:rsid w:val="00B47730"/>
    <w:rsid w:val="00B51167"/>
    <w:rsid w:val="00B57700"/>
    <w:rsid w:val="00B57D1F"/>
    <w:rsid w:val="00B6422C"/>
    <w:rsid w:val="00B64C66"/>
    <w:rsid w:val="00B67FC3"/>
    <w:rsid w:val="00B70D0D"/>
    <w:rsid w:val="00B724CF"/>
    <w:rsid w:val="00B74DD0"/>
    <w:rsid w:val="00B76C92"/>
    <w:rsid w:val="00B84846"/>
    <w:rsid w:val="00B848C8"/>
    <w:rsid w:val="00B87283"/>
    <w:rsid w:val="00B87551"/>
    <w:rsid w:val="00B957F9"/>
    <w:rsid w:val="00B9647C"/>
    <w:rsid w:val="00B9701E"/>
    <w:rsid w:val="00BA0EF8"/>
    <w:rsid w:val="00BA3049"/>
    <w:rsid w:val="00BA62E8"/>
    <w:rsid w:val="00BA6C9B"/>
    <w:rsid w:val="00BA6F38"/>
    <w:rsid w:val="00BA7BF6"/>
    <w:rsid w:val="00BA7D42"/>
    <w:rsid w:val="00BB008F"/>
    <w:rsid w:val="00BB07C8"/>
    <w:rsid w:val="00BB16CF"/>
    <w:rsid w:val="00BB1ECB"/>
    <w:rsid w:val="00BB20F2"/>
    <w:rsid w:val="00BB23D7"/>
    <w:rsid w:val="00BB2F0F"/>
    <w:rsid w:val="00BB3F25"/>
    <w:rsid w:val="00BB48AB"/>
    <w:rsid w:val="00BB7D1D"/>
    <w:rsid w:val="00BB7E48"/>
    <w:rsid w:val="00BB7FF8"/>
    <w:rsid w:val="00BC2F85"/>
    <w:rsid w:val="00BC432A"/>
    <w:rsid w:val="00BD0E43"/>
    <w:rsid w:val="00BD36BF"/>
    <w:rsid w:val="00BD62BF"/>
    <w:rsid w:val="00BE3145"/>
    <w:rsid w:val="00BE3ED6"/>
    <w:rsid w:val="00BE51FF"/>
    <w:rsid w:val="00BE7479"/>
    <w:rsid w:val="00BF1AC5"/>
    <w:rsid w:val="00BF29B6"/>
    <w:rsid w:val="00BF4614"/>
    <w:rsid w:val="00BF7A7C"/>
    <w:rsid w:val="00BF7D13"/>
    <w:rsid w:val="00C001ED"/>
    <w:rsid w:val="00C02E30"/>
    <w:rsid w:val="00C104B0"/>
    <w:rsid w:val="00C126EB"/>
    <w:rsid w:val="00C14405"/>
    <w:rsid w:val="00C14DD8"/>
    <w:rsid w:val="00C151CB"/>
    <w:rsid w:val="00C1705B"/>
    <w:rsid w:val="00C2393A"/>
    <w:rsid w:val="00C244E1"/>
    <w:rsid w:val="00C275C4"/>
    <w:rsid w:val="00C3739F"/>
    <w:rsid w:val="00C43FCD"/>
    <w:rsid w:val="00C441F7"/>
    <w:rsid w:val="00C45F69"/>
    <w:rsid w:val="00C51461"/>
    <w:rsid w:val="00C51E7E"/>
    <w:rsid w:val="00C52D25"/>
    <w:rsid w:val="00C56183"/>
    <w:rsid w:val="00C562FB"/>
    <w:rsid w:val="00C564F6"/>
    <w:rsid w:val="00C61087"/>
    <w:rsid w:val="00C628B2"/>
    <w:rsid w:val="00C62F89"/>
    <w:rsid w:val="00C66867"/>
    <w:rsid w:val="00C670F7"/>
    <w:rsid w:val="00C75515"/>
    <w:rsid w:val="00C7569D"/>
    <w:rsid w:val="00C766D5"/>
    <w:rsid w:val="00C821A1"/>
    <w:rsid w:val="00C83463"/>
    <w:rsid w:val="00C87E02"/>
    <w:rsid w:val="00C94BBA"/>
    <w:rsid w:val="00C97762"/>
    <w:rsid w:val="00CA4B23"/>
    <w:rsid w:val="00CA576F"/>
    <w:rsid w:val="00CA742C"/>
    <w:rsid w:val="00CB0664"/>
    <w:rsid w:val="00CB446E"/>
    <w:rsid w:val="00CB6E43"/>
    <w:rsid w:val="00CC1936"/>
    <w:rsid w:val="00CC22FA"/>
    <w:rsid w:val="00CC55D0"/>
    <w:rsid w:val="00CC6586"/>
    <w:rsid w:val="00CD1814"/>
    <w:rsid w:val="00CD2135"/>
    <w:rsid w:val="00CD3EA8"/>
    <w:rsid w:val="00CD5DC2"/>
    <w:rsid w:val="00CD60B4"/>
    <w:rsid w:val="00CE6CAF"/>
    <w:rsid w:val="00CE6E5B"/>
    <w:rsid w:val="00CE7AB5"/>
    <w:rsid w:val="00CE7BC8"/>
    <w:rsid w:val="00D02690"/>
    <w:rsid w:val="00D05957"/>
    <w:rsid w:val="00D05A5B"/>
    <w:rsid w:val="00D132D3"/>
    <w:rsid w:val="00D146FB"/>
    <w:rsid w:val="00D22897"/>
    <w:rsid w:val="00D24198"/>
    <w:rsid w:val="00D33EFE"/>
    <w:rsid w:val="00D355EA"/>
    <w:rsid w:val="00D3787F"/>
    <w:rsid w:val="00D40EE3"/>
    <w:rsid w:val="00D4452C"/>
    <w:rsid w:val="00D454A0"/>
    <w:rsid w:val="00D45A1B"/>
    <w:rsid w:val="00D46600"/>
    <w:rsid w:val="00D500F4"/>
    <w:rsid w:val="00D50A57"/>
    <w:rsid w:val="00D536B8"/>
    <w:rsid w:val="00D56D4A"/>
    <w:rsid w:val="00D65ADF"/>
    <w:rsid w:val="00D6714F"/>
    <w:rsid w:val="00D6735E"/>
    <w:rsid w:val="00D81C35"/>
    <w:rsid w:val="00D84B39"/>
    <w:rsid w:val="00D860BE"/>
    <w:rsid w:val="00D8770C"/>
    <w:rsid w:val="00D90718"/>
    <w:rsid w:val="00D933C2"/>
    <w:rsid w:val="00D94E93"/>
    <w:rsid w:val="00D97AD4"/>
    <w:rsid w:val="00DA43E6"/>
    <w:rsid w:val="00DB1F2F"/>
    <w:rsid w:val="00DB7101"/>
    <w:rsid w:val="00DC256B"/>
    <w:rsid w:val="00DC47C3"/>
    <w:rsid w:val="00DC4856"/>
    <w:rsid w:val="00DC6FEF"/>
    <w:rsid w:val="00DC794A"/>
    <w:rsid w:val="00DD151A"/>
    <w:rsid w:val="00DE29D4"/>
    <w:rsid w:val="00DE662B"/>
    <w:rsid w:val="00DF1CC0"/>
    <w:rsid w:val="00DF518F"/>
    <w:rsid w:val="00DF5526"/>
    <w:rsid w:val="00DF568C"/>
    <w:rsid w:val="00E06003"/>
    <w:rsid w:val="00E06D20"/>
    <w:rsid w:val="00E15C1A"/>
    <w:rsid w:val="00E17CD8"/>
    <w:rsid w:val="00E2709C"/>
    <w:rsid w:val="00E342FA"/>
    <w:rsid w:val="00E34339"/>
    <w:rsid w:val="00E34E56"/>
    <w:rsid w:val="00E374FB"/>
    <w:rsid w:val="00E43B4A"/>
    <w:rsid w:val="00E5373C"/>
    <w:rsid w:val="00E54D88"/>
    <w:rsid w:val="00E55F76"/>
    <w:rsid w:val="00E601DA"/>
    <w:rsid w:val="00E6177E"/>
    <w:rsid w:val="00E64B7D"/>
    <w:rsid w:val="00E734E7"/>
    <w:rsid w:val="00E80DEB"/>
    <w:rsid w:val="00E8489C"/>
    <w:rsid w:val="00E90DA3"/>
    <w:rsid w:val="00E968E3"/>
    <w:rsid w:val="00E97EBA"/>
    <w:rsid w:val="00EA0EF5"/>
    <w:rsid w:val="00EA16AC"/>
    <w:rsid w:val="00EA3ED4"/>
    <w:rsid w:val="00EB2BD6"/>
    <w:rsid w:val="00EB3FDB"/>
    <w:rsid w:val="00EC07C0"/>
    <w:rsid w:val="00EC0D2F"/>
    <w:rsid w:val="00EC1796"/>
    <w:rsid w:val="00EC36FB"/>
    <w:rsid w:val="00EC4288"/>
    <w:rsid w:val="00EC76B3"/>
    <w:rsid w:val="00ED346E"/>
    <w:rsid w:val="00ED4644"/>
    <w:rsid w:val="00ED4C31"/>
    <w:rsid w:val="00ED5E5B"/>
    <w:rsid w:val="00EE1503"/>
    <w:rsid w:val="00EE313E"/>
    <w:rsid w:val="00EE44F2"/>
    <w:rsid w:val="00EE4F41"/>
    <w:rsid w:val="00EE61CA"/>
    <w:rsid w:val="00EF07E4"/>
    <w:rsid w:val="00EF74AF"/>
    <w:rsid w:val="00F00856"/>
    <w:rsid w:val="00F01FD9"/>
    <w:rsid w:val="00F026BC"/>
    <w:rsid w:val="00F12539"/>
    <w:rsid w:val="00F153CA"/>
    <w:rsid w:val="00F2041D"/>
    <w:rsid w:val="00F23212"/>
    <w:rsid w:val="00F23B3E"/>
    <w:rsid w:val="00F23E87"/>
    <w:rsid w:val="00F24270"/>
    <w:rsid w:val="00F26BD7"/>
    <w:rsid w:val="00F3125F"/>
    <w:rsid w:val="00F361B5"/>
    <w:rsid w:val="00F36861"/>
    <w:rsid w:val="00F36A01"/>
    <w:rsid w:val="00F4174D"/>
    <w:rsid w:val="00F51A1C"/>
    <w:rsid w:val="00F53F8B"/>
    <w:rsid w:val="00F55EDD"/>
    <w:rsid w:val="00F57A1A"/>
    <w:rsid w:val="00F61AD3"/>
    <w:rsid w:val="00F61E6C"/>
    <w:rsid w:val="00F62C8E"/>
    <w:rsid w:val="00F650B0"/>
    <w:rsid w:val="00F65E63"/>
    <w:rsid w:val="00F66B16"/>
    <w:rsid w:val="00F72FE4"/>
    <w:rsid w:val="00F741BA"/>
    <w:rsid w:val="00F7716D"/>
    <w:rsid w:val="00F82E20"/>
    <w:rsid w:val="00F83EA7"/>
    <w:rsid w:val="00F8531F"/>
    <w:rsid w:val="00F85794"/>
    <w:rsid w:val="00F85DF9"/>
    <w:rsid w:val="00F871A5"/>
    <w:rsid w:val="00F87E22"/>
    <w:rsid w:val="00F96A53"/>
    <w:rsid w:val="00FA249A"/>
    <w:rsid w:val="00FA4608"/>
    <w:rsid w:val="00FA694D"/>
    <w:rsid w:val="00FB04C2"/>
    <w:rsid w:val="00FB266C"/>
    <w:rsid w:val="00FB31C1"/>
    <w:rsid w:val="00FB67C8"/>
    <w:rsid w:val="00FC0C3B"/>
    <w:rsid w:val="00FC1AD8"/>
    <w:rsid w:val="00FC4173"/>
    <w:rsid w:val="00FC693F"/>
    <w:rsid w:val="00FD0DAD"/>
    <w:rsid w:val="00FD1CAC"/>
    <w:rsid w:val="00FD6C90"/>
    <w:rsid w:val="00FD7F9D"/>
    <w:rsid w:val="00FE2B79"/>
    <w:rsid w:val="00FE4E91"/>
    <w:rsid w:val="00FE5631"/>
    <w:rsid w:val="00FE58AA"/>
    <w:rsid w:val="00FE5D71"/>
    <w:rsid w:val="00FE6A5F"/>
    <w:rsid w:val="00FE7F0E"/>
    <w:rsid w:val="00FF0404"/>
    <w:rsid w:val="00FF4763"/>
    <w:rsid w:val="00FF7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D904E99"/>
  <w14:defaultImageDpi w14:val="330"/>
  <w15:docId w15:val="{8C35E0ED-74D1-4008-AB84-4C61D2820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cze">
    <w:name w:val="Hyperlink"/>
    <w:basedOn w:val="Domylnaczcionkaakapitu"/>
    <w:uiPriority w:val="99"/>
    <w:unhideWhenUsed/>
    <w:rsid w:val="00510055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1005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C416C"/>
    <w:rPr>
      <w:color w:val="800080" w:themeColor="followedHyperlink"/>
      <w:u w:val="single"/>
    </w:rPr>
  </w:style>
  <w:style w:type="paragraph" w:customStyle="1" w:styleId="Default">
    <w:name w:val="Default"/>
    <w:rsid w:val="00737D66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val="pl-PL"/>
    </w:rPr>
  </w:style>
  <w:style w:type="paragraph" w:styleId="NormalnyWeb">
    <w:name w:val="Normal (Web)"/>
    <w:basedOn w:val="Normalny"/>
    <w:uiPriority w:val="99"/>
    <w:unhideWhenUsed/>
    <w:rsid w:val="00FB0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1497</TotalTime>
  <Pages>11</Pages>
  <Words>4068</Words>
  <Characters>24412</Characters>
  <Application>Microsoft Office Word</Application>
  <DocSecurity>0</DocSecurity>
  <Lines>203</Lines>
  <Paragraphs>56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28424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Urszula Kucharska</cp:lastModifiedBy>
  <cp:revision>356</cp:revision>
  <cp:lastPrinted>2026-02-12T13:09:00Z</cp:lastPrinted>
  <dcterms:created xsi:type="dcterms:W3CDTF">2025-12-09T13:12:00Z</dcterms:created>
  <dcterms:modified xsi:type="dcterms:W3CDTF">2026-03-30T07:52:00Z</dcterms:modified>
  <cp:category/>
</cp:coreProperties>
</file>